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DD805" w14:textId="6F5D7E9B" w:rsidR="008103D8" w:rsidRDefault="008103D8" w:rsidP="00BA4BC4">
      <w:pPr>
        <w:jc w:val="both"/>
        <w:rPr>
          <w:b/>
        </w:rPr>
      </w:pPr>
      <w:r>
        <w:rPr>
          <w:b/>
        </w:rPr>
        <w:t xml:space="preserve">Приложение 2. Методики </w:t>
      </w:r>
      <w:proofErr w:type="spellStart"/>
      <w:r>
        <w:rPr>
          <w:b/>
        </w:rPr>
        <w:t>пробоподготовки</w:t>
      </w:r>
      <w:proofErr w:type="spellEnd"/>
      <w:r>
        <w:rPr>
          <w:b/>
        </w:rPr>
        <w:t xml:space="preserve"> материала</w:t>
      </w:r>
    </w:p>
    <w:p w14:paraId="70CEE5AF" w14:textId="77777777" w:rsidR="00BA4BC4" w:rsidRDefault="00BA4BC4" w:rsidP="00BA4BC4">
      <w:pPr>
        <w:jc w:val="both"/>
        <w:rPr>
          <w:b/>
        </w:rPr>
      </w:pPr>
    </w:p>
    <w:p w14:paraId="4AB509DD" w14:textId="77777777" w:rsidR="00D03829" w:rsidRDefault="008103D8">
      <w:pPr>
        <w:numPr>
          <w:ilvl w:val="0"/>
          <w:numId w:val="1"/>
        </w:numPr>
        <w:jc w:val="both"/>
        <w:rPr>
          <w:i/>
        </w:rPr>
      </w:pPr>
      <w:r>
        <w:rPr>
          <w:i/>
        </w:rPr>
        <w:t>Методика электронно-</w:t>
      </w:r>
      <w:proofErr w:type="spellStart"/>
      <w:r>
        <w:rPr>
          <w:i/>
        </w:rPr>
        <w:t>микрозондового</w:t>
      </w:r>
      <w:proofErr w:type="spellEnd"/>
      <w:r>
        <w:rPr>
          <w:i/>
        </w:rPr>
        <w:t xml:space="preserve"> анализа стекла и минералов пепловых частиц и пемз</w:t>
      </w:r>
    </w:p>
    <w:p w14:paraId="16080787" w14:textId="5978890C" w:rsidR="00944F24" w:rsidRPr="002F6B86" w:rsidRDefault="00944F24">
      <w:pPr>
        <w:jc w:val="both"/>
      </w:pPr>
      <w:r w:rsidRPr="002F6B86">
        <w:t>Перед анализом от</w:t>
      </w:r>
      <w:r w:rsidR="00EE0A44">
        <w:t xml:space="preserve"> индивидуальных пемзовых </w:t>
      </w:r>
      <w:proofErr w:type="spellStart"/>
      <w:r w:rsidR="00EE0A44">
        <w:t>лапиллей</w:t>
      </w:r>
      <w:proofErr w:type="spellEnd"/>
      <w:r w:rsidRPr="002F6B86">
        <w:t xml:space="preserve"> откалывался кусок размером примерно1х1х0,5 см и заливался в эпоксидную смолу в вакууме. Одна сторона эпоксидной шашки </w:t>
      </w:r>
      <w:proofErr w:type="spellStart"/>
      <w:r w:rsidRPr="002F6B86">
        <w:t>сошлифовывалась</w:t>
      </w:r>
      <w:proofErr w:type="spellEnd"/>
      <w:r w:rsidRPr="002F6B86">
        <w:t xml:space="preserve"> и полировалась на алмазных пастах для дальнейших электронно-</w:t>
      </w:r>
      <w:proofErr w:type="spellStart"/>
      <w:r w:rsidRPr="002F6B86">
        <w:t>микрозондовых</w:t>
      </w:r>
      <w:proofErr w:type="spellEnd"/>
      <w:r w:rsidRPr="002F6B86">
        <w:t xml:space="preserve"> и электронно-микроскопических исследований. В случае необходимости удаления избыточного количества вскрывающихся в процессе шлифовки и полировки пор, обрабатываемая поверхность повторно пропитывалась эпоксидной композицией в вакууме. </w:t>
      </w:r>
    </w:p>
    <w:p w14:paraId="2EDE5AD4" w14:textId="1FDB14F5" w:rsidR="00944F24" w:rsidRPr="002F6B86" w:rsidRDefault="00944F24">
      <w:pPr>
        <w:jc w:val="both"/>
      </w:pPr>
      <w:r w:rsidRPr="002F6B86">
        <w:t xml:space="preserve">Для выделения стекловатых частиц из </w:t>
      </w:r>
      <w:proofErr w:type="spellStart"/>
      <w:r w:rsidRPr="002F6B86">
        <w:t>тефры</w:t>
      </w:r>
      <w:proofErr w:type="spellEnd"/>
      <w:r w:rsidRPr="002F6B86">
        <w:t xml:space="preserve"> почвенно-пирокластических отложений </w:t>
      </w:r>
      <w:proofErr w:type="spellStart"/>
      <w:r w:rsidRPr="002F6B86">
        <w:t>тефра</w:t>
      </w:r>
      <w:proofErr w:type="spellEnd"/>
      <w:r w:rsidRPr="002F6B86">
        <w:t xml:space="preserve"> выделялась и отмывалась </w:t>
      </w:r>
      <w:r w:rsidR="002F6B86" w:rsidRPr="002F6B86">
        <w:t>от органических примесей.</w:t>
      </w:r>
      <w:r w:rsidRPr="002F6B86">
        <w:t xml:space="preserve"> Частицы размером более 100 мкм отбирались вручную под бинокулярным микроскопом</w:t>
      </w:r>
      <w:r w:rsidR="00D06F08" w:rsidRPr="002F6B86">
        <w:t xml:space="preserve"> и монтировались на скотч</w:t>
      </w:r>
      <w:r w:rsidRPr="002F6B86">
        <w:t xml:space="preserve">. Более мелкая фракция </w:t>
      </w:r>
      <w:r w:rsidR="00D06F08" w:rsidRPr="002F6B86">
        <w:t xml:space="preserve">высыпалась на скотч и равномерно распределялась в виде дорожки. В таком виде препараты заливались эпоксидной композицией в шашки, поверхность которых шлифовалась и полировалась алмазными пастами. После шлифовки поверхность шашек пропитывалась эпоксидной композицией в вакууме для удаления наиболее крупных пор. </w:t>
      </w:r>
      <w:r w:rsidRPr="002F6B86">
        <w:t xml:space="preserve">Идентификация минералов производилась на сканирующем электронном микроскопе (СЭМ) по результатам количественного и качественного анализов методом </w:t>
      </w:r>
      <w:proofErr w:type="spellStart"/>
      <w:r w:rsidRPr="002F6B86">
        <w:t>энерго</w:t>
      </w:r>
      <w:proofErr w:type="spellEnd"/>
      <w:r w:rsidRPr="002F6B86">
        <w:t xml:space="preserve">-дисперсионной спектрометрии </w:t>
      </w:r>
      <w:r w:rsidR="00D06F08" w:rsidRPr="002F6B86">
        <w:t>(</w:t>
      </w:r>
      <w:r w:rsidRPr="002F6B86">
        <w:t>ЭДС</w:t>
      </w:r>
      <w:r w:rsidR="00D06F08" w:rsidRPr="002F6B86">
        <w:t>)</w:t>
      </w:r>
      <w:r w:rsidRPr="002F6B86">
        <w:t>.</w:t>
      </w:r>
    </w:p>
    <w:p w14:paraId="7DFEA003" w14:textId="77777777" w:rsidR="005650A7" w:rsidRPr="00F730FD" w:rsidRDefault="005650A7" w:rsidP="005650A7">
      <w:pPr>
        <w:ind w:firstLine="708"/>
        <w:jc w:val="both"/>
      </w:pPr>
      <w:bookmarkStart w:id="0" w:name="_heading=h.7ivtuf7zw7ic" w:colFirst="0" w:colLast="0"/>
      <w:bookmarkEnd w:id="0"/>
      <w:r>
        <w:t xml:space="preserve">Исследование состава стекла и минералов выполнено по единой методике электронно-зондовым методом на сканирующем электронном микроскопе (СЭМ) </w:t>
      </w:r>
      <w:r>
        <w:rPr>
          <w:lang w:val="en-US"/>
        </w:rPr>
        <w:t>TESCAN</w:t>
      </w:r>
      <w:r w:rsidRPr="00B31275">
        <w:t xml:space="preserve"> </w:t>
      </w:r>
      <w:r>
        <w:rPr>
          <w:lang w:val="en-US"/>
        </w:rPr>
        <w:t>MIRA</w:t>
      </w:r>
      <w:r w:rsidRPr="00B31275">
        <w:t xml:space="preserve"> 3</w:t>
      </w:r>
      <w:r>
        <w:rPr>
          <w:lang w:val="en-US"/>
        </w:rPr>
        <w:t>LMU</w:t>
      </w:r>
      <w:r w:rsidRPr="00A33423">
        <w:t xml:space="preserve"> (</w:t>
      </w:r>
      <w:proofErr w:type="spellStart"/>
      <w:r>
        <w:rPr>
          <w:lang w:val="en-US"/>
        </w:rPr>
        <w:t>Tescan</w:t>
      </w:r>
      <w:proofErr w:type="spellEnd"/>
      <w:r w:rsidRPr="00A33423">
        <w:t xml:space="preserve"> </w:t>
      </w:r>
      <w:proofErr w:type="spellStart"/>
      <w:r>
        <w:rPr>
          <w:lang w:val="en-US"/>
        </w:rPr>
        <w:t>Orsay</w:t>
      </w:r>
      <w:proofErr w:type="spellEnd"/>
      <w:r w:rsidRPr="00A33423">
        <w:t xml:space="preserve"> </w:t>
      </w:r>
      <w:r>
        <w:rPr>
          <w:lang w:val="en-US"/>
        </w:rPr>
        <w:t>Holding</w:t>
      </w:r>
      <w:r w:rsidRPr="00A33423">
        <w:t>)</w:t>
      </w:r>
      <w:r w:rsidRPr="00B31275">
        <w:t xml:space="preserve"> </w:t>
      </w:r>
      <w:r>
        <w:t xml:space="preserve">в Центре коллективного пользования многоэлементных и изотопных исследований в ИГМ СО РАН. СЭМ оснащён </w:t>
      </w:r>
      <w:proofErr w:type="spellStart"/>
      <w:r>
        <w:t>энергодисперсионной</w:t>
      </w:r>
      <w:proofErr w:type="spellEnd"/>
      <w:r>
        <w:t xml:space="preserve"> системой (ЭДС) микроанализа </w:t>
      </w:r>
      <w:proofErr w:type="spellStart"/>
      <w:r>
        <w:rPr>
          <w:lang w:val="en-US"/>
        </w:rPr>
        <w:t>AZtec</w:t>
      </w:r>
      <w:proofErr w:type="spellEnd"/>
      <w:r w:rsidRPr="00A33423">
        <w:t xml:space="preserve"> </w:t>
      </w:r>
      <w:r>
        <w:rPr>
          <w:lang w:val="en-US"/>
        </w:rPr>
        <w:t>Energy</w:t>
      </w:r>
      <w:r>
        <w:t xml:space="preserve">  </w:t>
      </w:r>
      <w:r w:rsidRPr="00A33423">
        <w:t>(</w:t>
      </w:r>
      <w:r>
        <w:rPr>
          <w:lang w:val="en-US"/>
        </w:rPr>
        <w:t>Oxford</w:t>
      </w:r>
      <w:r w:rsidRPr="00760636">
        <w:t xml:space="preserve"> </w:t>
      </w:r>
      <w:r>
        <w:rPr>
          <w:lang w:val="en-US"/>
        </w:rPr>
        <w:t>Instruments</w:t>
      </w:r>
      <w:r w:rsidRPr="00A33423">
        <w:t xml:space="preserve"> </w:t>
      </w:r>
      <w:proofErr w:type="spellStart"/>
      <w:r>
        <w:rPr>
          <w:lang w:val="en-US"/>
        </w:rPr>
        <w:t>Nanoanalysis</w:t>
      </w:r>
      <w:proofErr w:type="spellEnd"/>
      <w:r>
        <w:t xml:space="preserve"> </w:t>
      </w:r>
      <w:r>
        <w:rPr>
          <w:lang w:val="en-US"/>
        </w:rPr>
        <w:t>Ltd</w:t>
      </w:r>
      <w:r w:rsidRPr="00A33423">
        <w:t>)</w:t>
      </w:r>
      <w:r>
        <w:t xml:space="preserve">, включающей  кремний-дрейфовый детектор рентгеновского излучения </w:t>
      </w:r>
      <w:proofErr w:type="spellStart"/>
      <w:r>
        <w:rPr>
          <w:lang w:val="en-US"/>
        </w:rPr>
        <w:t>XMax</w:t>
      </w:r>
      <w:proofErr w:type="spellEnd"/>
      <w:r w:rsidRPr="00A33423">
        <w:t>-50</w:t>
      </w:r>
      <w:r>
        <w:t xml:space="preserve">. Ускоряющее напряжение составляло 20 </w:t>
      </w:r>
      <w:proofErr w:type="spellStart"/>
      <w:r>
        <w:t>кВ</w:t>
      </w:r>
      <w:proofErr w:type="spellEnd"/>
      <w:r>
        <w:t xml:space="preserve">, ток зонда - 1нА при диаметре зонда 10 </w:t>
      </w:r>
      <w:proofErr w:type="spellStart"/>
      <w:r>
        <w:t>нм</w:t>
      </w:r>
      <w:proofErr w:type="spellEnd"/>
      <w:r>
        <w:t>, живое время накопления (</w:t>
      </w:r>
      <w:r>
        <w:rPr>
          <w:lang w:val="en-US"/>
        </w:rPr>
        <w:t>live</w:t>
      </w:r>
      <w:r w:rsidRPr="00A95087">
        <w:t xml:space="preserve"> </w:t>
      </w:r>
      <w:r>
        <w:rPr>
          <w:lang w:val="en-US"/>
        </w:rPr>
        <w:t>acquisition</w:t>
      </w:r>
      <w:r w:rsidRPr="00A95087">
        <w:t xml:space="preserve"> </w:t>
      </w:r>
      <w:r>
        <w:rPr>
          <w:lang w:val="en-US"/>
        </w:rPr>
        <w:t>time</w:t>
      </w:r>
      <w:r w:rsidRPr="00A95087">
        <w:t>)</w:t>
      </w:r>
      <w:r>
        <w:t xml:space="preserve"> спектра - 60 сек. Анализ производился путем сканирования площадок, размером не менее 5х5 мкм</w:t>
      </w:r>
      <w:r w:rsidRPr="007972E5">
        <w:rPr>
          <w:vertAlign w:val="superscript"/>
        </w:rPr>
        <w:t>2</w:t>
      </w:r>
      <w:r>
        <w:t xml:space="preserve">, чтобы избежать искажения результатов, обусловленного миграцией ионов щелочных металлов, прежде всего  натрия, от места воздействия электронного пучка высокой плотности </w:t>
      </w:r>
      <w:r w:rsidRPr="00B31275">
        <w:t>[</w:t>
      </w:r>
      <w:r>
        <w:rPr>
          <w:lang w:val="en-US"/>
        </w:rPr>
        <w:t>Morgan</w:t>
      </w:r>
      <w:r w:rsidRPr="00567E02">
        <w:t xml:space="preserve">, </w:t>
      </w:r>
      <w:r>
        <w:rPr>
          <w:lang w:val="en-US"/>
        </w:rPr>
        <w:t>London</w:t>
      </w:r>
      <w:r w:rsidRPr="00567E02">
        <w:t xml:space="preserve">, 2005 </w:t>
      </w:r>
      <w:r>
        <w:t>и ссылки в ней</w:t>
      </w:r>
      <w:r w:rsidRPr="00B31275">
        <w:t>]</w:t>
      </w:r>
      <w:r>
        <w:t>.</w:t>
      </w:r>
      <w:r w:rsidRPr="00F730FD">
        <w:t xml:space="preserve"> </w:t>
      </w:r>
      <w:r>
        <w:t xml:space="preserve">В качестве аналитического сигнала использовали интенсивность линий </w:t>
      </w:r>
      <w:r w:rsidRPr="00F730FD">
        <w:rPr>
          <w:i/>
          <w:lang w:val="en-US"/>
        </w:rPr>
        <w:t>K</w:t>
      </w:r>
      <w:r w:rsidRPr="00F730FD">
        <w:t>-</w:t>
      </w:r>
      <w:r>
        <w:t xml:space="preserve">серии анализируемых элементов. Расчет концентраций, учет наложений и матричных эффектов производился с помощью программного обеспечения </w:t>
      </w:r>
      <w:r>
        <w:rPr>
          <w:lang w:val="en-US"/>
        </w:rPr>
        <w:t>Aztec</w:t>
      </w:r>
      <w:r>
        <w:t xml:space="preserve"> </w:t>
      </w:r>
      <w:r>
        <w:rPr>
          <w:lang w:val="en-US"/>
        </w:rPr>
        <w:t>Energy</w:t>
      </w:r>
      <w:r>
        <w:t xml:space="preserve"> в режиме «все элементы анализируемые». В этом режиме мы определяли  содержания всех элементов, в том числе кислорода. Окончательный отчёт по каждой аналитической сессии получали с помощью специальной программы генерации отчётов </w:t>
      </w:r>
      <w:r w:rsidRPr="00DB764E">
        <w:t>[</w:t>
      </w:r>
      <w:proofErr w:type="spellStart"/>
      <w:r>
        <w:t>Канакин</w:t>
      </w:r>
      <w:proofErr w:type="spellEnd"/>
      <w:r>
        <w:t>, 2011</w:t>
      </w:r>
      <w:r w:rsidRPr="00DB764E">
        <w:t>]</w:t>
      </w:r>
      <w:r>
        <w:t xml:space="preserve">, модифицированной для создания отчётов для программного комплекса </w:t>
      </w:r>
      <w:r>
        <w:rPr>
          <w:lang w:val="en-US"/>
        </w:rPr>
        <w:t>Aztec</w:t>
      </w:r>
      <w:r w:rsidRPr="00DB764E">
        <w:t xml:space="preserve"> </w:t>
      </w:r>
      <w:r>
        <w:rPr>
          <w:lang w:val="en-US"/>
        </w:rPr>
        <w:t>Energy</w:t>
      </w:r>
      <w:r>
        <w:t xml:space="preserve">. Отчёт представляет собой файл электронной таблицы, содержащий данные анализа в виде концентраций элементов (массовые и атомные), содержание компонентов в случае окисных материалов (кислород </w:t>
      </w:r>
      <w:r>
        <w:lastRenderedPageBreak/>
        <w:t>вычисляется по стехиометрии), формульные единицы для автоматически идентифицируемых минералов.</w:t>
      </w:r>
    </w:p>
    <w:p w14:paraId="2C4D9DC9" w14:textId="77777777" w:rsidR="005650A7" w:rsidRDefault="005650A7" w:rsidP="005650A7">
      <w:pPr>
        <w:jc w:val="both"/>
      </w:pPr>
      <w:r>
        <w:t>Анализ стекла пепловых частиц и основной массы пемз производился сканированием 3 - 6 площадок в пределах поля зрения, не превышавшего 500х500 мкм</w:t>
      </w:r>
      <w:r w:rsidRPr="007972E5">
        <w:rPr>
          <w:vertAlign w:val="superscript"/>
        </w:rPr>
        <w:t>2</w:t>
      </w:r>
      <w:r>
        <w:t xml:space="preserve">. При анализе пеплов анализировалось 5 – 7 частиц. Результаты анализов площадок в пределах одной частицы усреднялись. Так как на качество анализа при исследовании методом ЭДС влияет общий наклон поверхности образца, для проверки правильности анализов стекол производился контрольный анализ кристаллов плагиоклаза или пироксена, включенного в это стекло или находящегося в непосредственной близости от места анализа. Удовлетворительными считались анализы указанных минералов, сумма </w:t>
      </w:r>
      <w:r w:rsidRPr="002B46CD">
        <w:t>(</w:t>
      </w:r>
      <w:r>
        <w:rPr>
          <w:lang w:val="en-US"/>
        </w:rPr>
        <w:t>analytical</w:t>
      </w:r>
      <w:r w:rsidRPr="002B46CD">
        <w:t xml:space="preserve"> </w:t>
      </w:r>
      <w:r>
        <w:rPr>
          <w:lang w:val="en-US"/>
        </w:rPr>
        <w:t>total</w:t>
      </w:r>
      <w:r w:rsidRPr="002B46CD">
        <w:t xml:space="preserve">) </w:t>
      </w:r>
      <w:r>
        <w:t xml:space="preserve">которых попадала в диапазон 99 – 101 </w:t>
      </w:r>
      <w:proofErr w:type="spellStart"/>
      <w:r>
        <w:t>мас</w:t>
      </w:r>
      <w:proofErr w:type="spellEnd"/>
      <w:r>
        <w:t xml:space="preserve">. % при отклонении коэффициентов стехиометрии не более 1 </w:t>
      </w:r>
      <w:proofErr w:type="spellStart"/>
      <w:r>
        <w:t>отн</w:t>
      </w:r>
      <w:proofErr w:type="spellEnd"/>
      <w:r>
        <w:t xml:space="preserve">. %. В случае, если сумма контрольного анализа минерала не попадала в указанные пределы, все концентрации в анализе стекла </w:t>
      </w:r>
      <w:proofErr w:type="spellStart"/>
      <w:r>
        <w:t>домножались</w:t>
      </w:r>
      <w:proofErr w:type="spellEnd"/>
      <w:r>
        <w:t xml:space="preserve"> на коэффициент, равный отношению 100 к сумме анализа </w:t>
      </w:r>
      <w:r w:rsidRPr="002B46CD">
        <w:t>(</w:t>
      </w:r>
      <w:r>
        <w:rPr>
          <w:lang w:val="en-US"/>
        </w:rPr>
        <w:t>analytical</w:t>
      </w:r>
      <w:r w:rsidRPr="002B46CD">
        <w:t xml:space="preserve"> </w:t>
      </w:r>
      <w:r>
        <w:rPr>
          <w:lang w:val="en-US"/>
        </w:rPr>
        <w:t>total</w:t>
      </w:r>
      <w:r w:rsidRPr="002B46CD">
        <w:t>)</w:t>
      </w:r>
      <w:r>
        <w:t xml:space="preserve"> минерала. Следует заметить, что в используемом наборе данных коррекция вводилась не более чем в 1,5 % от всех случаев.</w:t>
      </w:r>
    </w:p>
    <w:p w14:paraId="38AAE3E3" w14:textId="77777777" w:rsidR="005650A7" w:rsidRDefault="005650A7" w:rsidP="005650A7">
      <w:pPr>
        <w:ind w:firstLine="708"/>
        <w:jc w:val="both"/>
      </w:pPr>
      <w:r>
        <w:t xml:space="preserve">Калибровка спектрометра осуществлялась по набору образцов сравнения из блока </w:t>
      </w:r>
      <w:r>
        <w:rPr>
          <w:lang w:val="en-US"/>
        </w:rPr>
        <w:t>MAC</w:t>
      </w:r>
      <w:r w:rsidRPr="000063A4">
        <w:t>-55 (</w:t>
      </w:r>
      <w:r>
        <w:rPr>
          <w:lang w:val="en-US"/>
        </w:rPr>
        <w:t>Micro</w:t>
      </w:r>
      <w:r w:rsidRPr="000063A4">
        <w:t>-</w:t>
      </w:r>
      <w:r>
        <w:rPr>
          <w:lang w:val="en-US"/>
        </w:rPr>
        <w:t>Analysis</w:t>
      </w:r>
      <w:r w:rsidRPr="000063A4">
        <w:t xml:space="preserve"> </w:t>
      </w:r>
      <w:r>
        <w:rPr>
          <w:lang w:val="en-US"/>
        </w:rPr>
        <w:t>Consultants</w:t>
      </w:r>
      <w:r w:rsidRPr="000063A4">
        <w:t xml:space="preserve"> </w:t>
      </w:r>
      <w:r>
        <w:rPr>
          <w:lang w:val="en-US"/>
        </w:rPr>
        <w:t>Ltd</w:t>
      </w:r>
      <w:r w:rsidRPr="000063A4">
        <w:t xml:space="preserve">.) </w:t>
      </w:r>
      <w:r>
        <w:t>–</w:t>
      </w:r>
      <w:r w:rsidRPr="000063A4">
        <w:t xml:space="preserve"> </w:t>
      </w:r>
      <w:r>
        <w:rPr>
          <w:lang w:val="en-US"/>
        </w:rPr>
        <w:t>registered</w:t>
      </w:r>
      <w:r w:rsidRPr="000063A4">
        <w:t xml:space="preserve"> </w:t>
      </w:r>
      <w:r>
        <w:rPr>
          <w:lang w:val="en-US"/>
        </w:rPr>
        <w:t>standard</w:t>
      </w:r>
      <w:r w:rsidRPr="000063A4">
        <w:t xml:space="preserve"> </w:t>
      </w:r>
      <w:r>
        <w:rPr>
          <w:lang w:val="en-US"/>
        </w:rPr>
        <w:t>number</w:t>
      </w:r>
      <w:r w:rsidRPr="000063A4">
        <w:t xml:space="preserve"> 7682</w:t>
      </w:r>
      <w:r>
        <w:t>, а также</w:t>
      </w:r>
      <w:r w:rsidRPr="000063A4">
        <w:t xml:space="preserve"> </w:t>
      </w:r>
      <w:r>
        <w:t xml:space="preserve">хорошо охарактеризованных </w:t>
      </w:r>
      <w:proofErr w:type="spellStart"/>
      <w:r>
        <w:t>внутрилабораторных</w:t>
      </w:r>
      <w:proofErr w:type="spellEnd"/>
      <w:r>
        <w:t xml:space="preserve"> стандартов, представляющих собой природные минералы, искусственные соединения или чистые металлы (табл. 1). </w:t>
      </w:r>
    </w:p>
    <w:p w14:paraId="31590C78" w14:textId="77777777" w:rsidR="005C1071" w:rsidRDefault="005C1071" w:rsidP="005650A7">
      <w:pPr>
        <w:ind w:firstLine="708"/>
        <w:jc w:val="both"/>
      </w:pPr>
    </w:p>
    <w:p w14:paraId="0EF55A54" w14:textId="71E97311" w:rsidR="005650A7" w:rsidRDefault="005650A7" w:rsidP="005650A7">
      <w:pPr>
        <w:jc w:val="both"/>
      </w:pPr>
      <w:r>
        <w:t>Таблица 1. Условия калибровки и метрологическ</w:t>
      </w:r>
      <w:bookmarkStart w:id="1" w:name="_GoBack"/>
      <w:bookmarkEnd w:id="1"/>
      <w:r>
        <w:t xml:space="preserve">ие </w:t>
      </w:r>
      <w:r w:rsidR="009F7210">
        <w:t>характеристики</w:t>
      </w:r>
      <w:r>
        <w:t xml:space="preserve"> электронно-зондовых анализов стёкол</w:t>
      </w:r>
    </w:p>
    <w:tbl>
      <w:tblPr>
        <w:tblW w:w="8765"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1792"/>
        <w:gridCol w:w="2243"/>
        <w:gridCol w:w="2977"/>
      </w:tblGrid>
      <w:tr w:rsidR="007761EF" w:rsidRPr="007761EF" w14:paraId="137D80A8" w14:textId="77777777" w:rsidTr="007761EF">
        <w:trPr>
          <w:trHeight w:val="885"/>
          <w:jc w:val="center"/>
        </w:trPr>
        <w:tc>
          <w:tcPr>
            <w:tcW w:w="1753" w:type="dxa"/>
            <w:vAlign w:val="center"/>
          </w:tcPr>
          <w:p w14:paraId="7596FA57" w14:textId="77777777" w:rsidR="005650A7" w:rsidRPr="007761EF" w:rsidRDefault="005650A7" w:rsidP="005C1071">
            <w:pPr>
              <w:spacing w:after="0" w:line="240" w:lineRule="auto"/>
              <w:ind w:firstLine="0"/>
              <w:contextualSpacing/>
              <w:jc w:val="center"/>
              <w:rPr>
                <w:b/>
                <w:color w:val="000000"/>
                <w:lang w:eastAsia="ru-RU"/>
              </w:rPr>
            </w:pPr>
            <w:r w:rsidRPr="007761EF">
              <w:rPr>
                <w:b/>
                <w:color w:val="000000"/>
                <w:lang w:eastAsia="ru-RU"/>
              </w:rPr>
              <w:t>Элемент</w:t>
            </w:r>
          </w:p>
        </w:tc>
        <w:tc>
          <w:tcPr>
            <w:tcW w:w="1792" w:type="dxa"/>
            <w:shd w:val="clear" w:color="auto" w:fill="auto"/>
            <w:noWrap/>
            <w:vAlign w:val="center"/>
          </w:tcPr>
          <w:p w14:paraId="3C0ED3CA" w14:textId="77777777" w:rsidR="005650A7" w:rsidRPr="007761EF" w:rsidRDefault="005650A7" w:rsidP="005C1071">
            <w:pPr>
              <w:spacing w:after="0" w:line="240" w:lineRule="auto"/>
              <w:ind w:firstLine="0"/>
              <w:contextualSpacing/>
              <w:jc w:val="center"/>
              <w:rPr>
                <w:b/>
                <w:color w:val="000000"/>
                <w:lang w:eastAsia="ru-RU"/>
              </w:rPr>
            </w:pPr>
            <w:r w:rsidRPr="007761EF">
              <w:rPr>
                <w:b/>
                <w:color w:val="000000"/>
                <w:lang w:eastAsia="ru-RU"/>
              </w:rPr>
              <w:t>Стандарт</w:t>
            </w:r>
          </w:p>
        </w:tc>
        <w:tc>
          <w:tcPr>
            <w:tcW w:w="2243" w:type="dxa"/>
            <w:vAlign w:val="center"/>
          </w:tcPr>
          <w:p w14:paraId="1FDFD3B6" w14:textId="77777777" w:rsidR="005650A7" w:rsidRPr="007761EF" w:rsidRDefault="005650A7" w:rsidP="005C1071">
            <w:pPr>
              <w:spacing w:after="0" w:line="240" w:lineRule="auto"/>
              <w:ind w:firstLine="0"/>
              <w:contextualSpacing/>
              <w:jc w:val="center"/>
              <w:rPr>
                <w:b/>
                <w:color w:val="000000"/>
                <w:lang w:eastAsia="ru-RU"/>
              </w:rPr>
            </w:pPr>
            <w:r w:rsidRPr="007761EF">
              <w:rPr>
                <w:b/>
                <w:color w:val="000000"/>
                <w:lang w:eastAsia="ru-RU"/>
              </w:rPr>
              <w:t>Стандартное</w:t>
            </w:r>
          </w:p>
          <w:p w14:paraId="68C9B319" w14:textId="77777777" w:rsidR="005650A7" w:rsidRPr="007761EF" w:rsidRDefault="005650A7" w:rsidP="005C1071">
            <w:pPr>
              <w:spacing w:after="0" w:line="240" w:lineRule="auto"/>
              <w:ind w:firstLine="0"/>
              <w:contextualSpacing/>
              <w:jc w:val="center"/>
              <w:rPr>
                <w:b/>
                <w:color w:val="000000"/>
                <w:lang w:val="en-US" w:eastAsia="ru-RU"/>
              </w:rPr>
            </w:pPr>
            <w:r w:rsidRPr="007761EF">
              <w:rPr>
                <w:b/>
                <w:color w:val="000000"/>
                <w:lang w:eastAsia="ru-RU"/>
              </w:rPr>
              <w:t>отклонение</w:t>
            </w:r>
            <w:r w:rsidRPr="007761EF">
              <w:rPr>
                <w:b/>
                <w:color w:val="000000"/>
                <w:lang w:val="en-US" w:eastAsia="ru-RU"/>
              </w:rPr>
              <w:t>, %</w:t>
            </w:r>
          </w:p>
        </w:tc>
        <w:tc>
          <w:tcPr>
            <w:tcW w:w="2977" w:type="dxa"/>
            <w:vAlign w:val="center"/>
          </w:tcPr>
          <w:p w14:paraId="270C0737" w14:textId="70BA1BED" w:rsidR="005650A7" w:rsidRPr="007761EF" w:rsidRDefault="005650A7" w:rsidP="005C1071">
            <w:pPr>
              <w:spacing w:after="0" w:line="240" w:lineRule="auto"/>
              <w:ind w:firstLine="0"/>
              <w:contextualSpacing/>
              <w:jc w:val="center"/>
              <w:rPr>
                <w:b/>
                <w:color w:val="000000"/>
                <w:lang w:eastAsia="ru-RU"/>
              </w:rPr>
            </w:pPr>
            <w:r w:rsidRPr="007761EF">
              <w:rPr>
                <w:b/>
                <w:color w:val="000000"/>
                <w:lang w:eastAsia="ru-RU"/>
              </w:rPr>
              <w:t>Предел</w:t>
            </w:r>
            <w:r w:rsidR="007761EF">
              <w:rPr>
                <w:b/>
                <w:color w:val="000000"/>
                <w:lang w:eastAsia="ru-RU"/>
              </w:rPr>
              <w:t xml:space="preserve"> </w:t>
            </w:r>
            <w:r w:rsidRPr="007761EF">
              <w:rPr>
                <w:b/>
                <w:color w:val="000000"/>
                <w:lang w:eastAsia="ru-RU"/>
              </w:rPr>
              <w:t>обнаружения (3</w:t>
            </w:r>
            <w:r w:rsidRPr="007761EF">
              <w:rPr>
                <w:rFonts w:ascii="Symbol" w:hAnsi="Symbol"/>
                <w:b/>
                <w:color w:val="000000"/>
                <w:lang w:val="en-US" w:eastAsia="ru-RU"/>
              </w:rPr>
              <w:t></w:t>
            </w:r>
            <w:r w:rsidRPr="007761EF">
              <w:rPr>
                <w:b/>
                <w:color w:val="000000"/>
                <w:lang w:val="en-US" w:eastAsia="ru-RU"/>
              </w:rPr>
              <w:t>), %</w:t>
            </w:r>
          </w:p>
        </w:tc>
      </w:tr>
      <w:tr w:rsidR="007761EF" w:rsidRPr="007761EF" w14:paraId="32D2BC15" w14:textId="77777777" w:rsidTr="007761EF">
        <w:trPr>
          <w:trHeight w:val="490"/>
          <w:jc w:val="center"/>
        </w:trPr>
        <w:tc>
          <w:tcPr>
            <w:tcW w:w="1753" w:type="dxa"/>
            <w:vAlign w:val="center"/>
          </w:tcPr>
          <w:p w14:paraId="50BD5EEF" w14:textId="77777777" w:rsidR="005650A7" w:rsidRPr="007761EF" w:rsidRDefault="005650A7" w:rsidP="007761EF">
            <w:pPr>
              <w:spacing w:after="0" w:line="240" w:lineRule="auto"/>
              <w:contextualSpacing/>
              <w:jc w:val="center"/>
              <w:rPr>
                <w:color w:val="000000"/>
                <w:lang w:val="en-US" w:eastAsia="ru-RU"/>
              </w:rPr>
            </w:pPr>
            <w:r w:rsidRPr="007761EF">
              <w:rPr>
                <w:color w:val="000000"/>
                <w:lang w:val="en-US" w:eastAsia="ru-RU"/>
              </w:rPr>
              <w:t>O</w:t>
            </w:r>
          </w:p>
        </w:tc>
        <w:tc>
          <w:tcPr>
            <w:tcW w:w="1792" w:type="dxa"/>
            <w:shd w:val="clear" w:color="auto" w:fill="auto"/>
            <w:noWrap/>
            <w:vAlign w:val="center"/>
            <w:hideMark/>
          </w:tcPr>
          <w:p w14:paraId="0BEFCF9E" w14:textId="77777777" w:rsidR="005650A7" w:rsidRPr="007761EF" w:rsidRDefault="005650A7" w:rsidP="007761EF">
            <w:pPr>
              <w:spacing w:after="0" w:line="240" w:lineRule="auto"/>
              <w:contextualSpacing/>
              <w:jc w:val="center"/>
              <w:rPr>
                <w:color w:val="000000"/>
                <w:lang w:eastAsia="ru-RU"/>
              </w:rPr>
            </w:pPr>
            <w:r w:rsidRPr="007761EF">
              <w:rPr>
                <w:color w:val="000000"/>
                <w:lang w:eastAsia="ru-RU"/>
              </w:rPr>
              <w:t>Al</w:t>
            </w:r>
            <w:r w:rsidRPr="007761EF">
              <w:rPr>
                <w:color w:val="000000"/>
                <w:vertAlign w:val="subscript"/>
                <w:lang w:eastAsia="ru-RU"/>
              </w:rPr>
              <w:t>2</w:t>
            </w:r>
            <w:r w:rsidRPr="007761EF">
              <w:rPr>
                <w:color w:val="000000"/>
                <w:lang w:eastAsia="ru-RU"/>
              </w:rPr>
              <w:t>O</w:t>
            </w:r>
            <w:r w:rsidRPr="007761EF">
              <w:rPr>
                <w:color w:val="000000"/>
                <w:vertAlign w:val="subscript"/>
                <w:lang w:eastAsia="ru-RU"/>
              </w:rPr>
              <w:t>3</w:t>
            </w:r>
          </w:p>
        </w:tc>
        <w:tc>
          <w:tcPr>
            <w:tcW w:w="2243" w:type="dxa"/>
            <w:vAlign w:val="center"/>
          </w:tcPr>
          <w:p w14:paraId="09FC9D3E" w14:textId="77777777" w:rsidR="005650A7" w:rsidRPr="007761EF" w:rsidRDefault="005650A7" w:rsidP="007761EF">
            <w:pPr>
              <w:spacing w:after="0" w:line="240" w:lineRule="auto"/>
              <w:contextualSpacing/>
              <w:jc w:val="center"/>
              <w:rPr>
                <w:color w:val="000000"/>
                <w:lang w:eastAsia="ru-RU"/>
              </w:rPr>
            </w:pPr>
            <w:r w:rsidRPr="007761EF">
              <w:rPr>
                <w:color w:val="000000"/>
                <w:lang w:eastAsia="ru-RU"/>
              </w:rPr>
              <w:t>0.23</w:t>
            </w:r>
          </w:p>
        </w:tc>
        <w:tc>
          <w:tcPr>
            <w:tcW w:w="2977" w:type="dxa"/>
            <w:vAlign w:val="center"/>
          </w:tcPr>
          <w:p w14:paraId="3B2919E2" w14:textId="77777777" w:rsidR="005650A7" w:rsidRPr="007761EF" w:rsidRDefault="005650A7" w:rsidP="007761EF">
            <w:pPr>
              <w:spacing w:after="0" w:line="240" w:lineRule="auto"/>
              <w:contextualSpacing/>
              <w:jc w:val="center"/>
              <w:rPr>
                <w:color w:val="000000"/>
                <w:lang w:eastAsia="ru-RU"/>
              </w:rPr>
            </w:pPr>
          </w:p>
        </w:tc>
      </w:tr>
      <w:tr w:rsidR="007761EF" w:rsidRPr="007761EF" w14:paraId="13F1DE2C" w14:textId="77777777" w:rsidTr="007761EF">
        <w:trPr>
          <w:trHeight w:val="695"/>
          <w:jc w:val="center"/>
        </w:trPr>
        <w:tc>
          <w:tcPr>
            <w:tcW w:w="1753" w:type="dxa"/>
            <w:vAlign w:val="center"/>
          </w:tcPr>
          <w:p w14:paraId="59864852" w14:textId="77777777" w:rsidR="005650A7" w:rsidRPr="007761EF" w:rsidRDefault="005650A7" w:rsidP="007761EF">
            <w:pPr>
              <w:spacing w:after="0" w:line="240" w:lineRule="auto"/>
              <w:contextualSpacing/>
              <w:jc w:val="center"/>
              <w:rPr>
                <w:color w:val="000000"/>
                <w:lang w:val="en-US" w:eastAsia="ru-RU"/>
              </w:rPr>
            </w:pPr>
            <w:r w:rsidRPr="007761EF">
              <w:rPr>
                <w:color w:val="000000"/>
                <w:lang w:val="en-US" w:eastAsia="ru-RU"/>
              </w:rPr>
              <w:t>Na</w:t>
            </w:r>
          </w:p>
        </w:tc>
        <w:tc>
          <w:tcPr>
            <w:tcW w:w="1792" w:type="dxa"/>
            <w:shd w:val="clear" w:color="auto" w:fill="auto"/>
            <w:noWrap/>
            <w:vAlign w:val="center"/>
            <w:hideMark/>
          </w:tcPr>
          <w:p w14:paraId="0F9151B3" w14:textId="77777777" w:rsidR="005650A7" w:rsidRPr="007761EF" w:rsidRDefault="005650A7" w:rsidP="007761EF">
            <w:pPr>
              <w:spacing w:after="0" w:line="240" w:lineRule="auto"/>
              <w:ind w:firstLine="0"/>
              <w:contextualSpacing/>
              <w:rPr>
                <w:color w:val="000000"/>
                <w:lang w:eastAsia="ru-RU"/>
              </w:rPr>
            </w:pPr>
            <w:r w:rsidRPr="007761EF">
              <w:rPr>
                <w:color w:val="000000"/>
                <w:lang w:eastAsia="ru-RU"/>
              </w:rPr>
              <w:t>Альбит (</w:t>
            </w:r>
            <w:proofErr w:type="spellStart"/>
            <w:r w:rsidRPr="007761EF">
              <w:rPr>
                <w:color w:val="000000"/>
                <w:lang w:eastAsia="ru-RU"/>
              </w:rPr>
              <w:t>Albite</w:t>
            </w:r>
            <w:proofErr w:type="spellEnd"/>
            <w:r w:rsidRPr="007761EF">
              <w:rPr>
                <w:color w:val="000000"/>
                <w:lang w:eastAsia="ru-RU"/>
              </w:rPr>
              <w:t>)</w:t>
            </w:r>
          </w:p>
        </w:tc>
        <w:tc>
          <w:tcPr>
            <w:tcW w:w="2243" w:type="dxa"/>
            <w:vAlign w:val="center"/>
          </w:tcPr>
          <w:p w14:paraId="54F806AF" w14:textId="77777777" w:rsidR="005650A7" w:rsidRPr="007761EF" w:rsidRDefault="005650A7" w:rsidP="007761EF">
            <w:pPr>
              <w:spacing w:after="0" w:line="240" w:lineRule="auto"/>
              <w:contextualSpacing/>
              <w:jc w:val="center"/>
              <w:rPr>
                <w:color w:val="000000"/>
                <w:lang w:eastAsia="ru-RU"/>
              </w:rPr>
            </w:pPr>
            <w:r w:rsidRPr="007761EF">
              <w:rPr>
                <w:color w:val="000000"/>
                <w:lang w:eastAsia="ru-RU"/>
              </w:rPr>
              <w:t>0.04</w:t>
            </w:r>
          </w:p>
        </w:tc>
        <w:tc>
          <w:tcPr>
            <w:tcW w:w="2977" w:type="dxa"/>
            <w:vAlign w:val="center"/>
          </w:tcPr>
          <w:p w14:paraId="4A254C6D" w14:textId="77777777" w:rsidR="005650A7" w:rsidRPr="007761EF" w:rsidRDefault="005650A7" w:rsidP="007761EF">
            <w:pPr>
              <w:spacing w:after="0" w:line="240" w:lineRule="auto"/>
              <w:contextualSpacing/>
              <w:jc w:val="center"/>
              <w:rPr>
                <w:color w:val="000000"/>
                <w:lang w:eastAsia="ru-RU"/>
              </w:rPr>
            </w:pPr>
          </w:p>
        </w:tc>
      </w:tr>
      <w:tr w:rsidR="007761EF" w:rsidRPr="007761EF" w14:paraId="4F98E24D" w14:textId="77777777" w:rsidTr="007761EF">
        <w:trPr>
          <w:trHeight w:val="705"/>
          <w:jc w:val="center"/>
        </w:trPr>
        <w:tc>
          <w:tcPr>
            <w:tcW w:w="1753" w:type="dxa"/>
            <w:vAlign w:val="center"/>
          </w:tcPr>
          <w:p w14:paraId="40E4F907" w14:textId="77777777" w:rsidR="005650A7" w:rsidRPr="007761EF" w:rsidRDefault="005650A7" w:rsidP="007761EF">
            <w:pPr>
              <w:spacing w:after="0" w:line="240" w:lineRule="auto"/>
              <w:contextualSpacing/>
              <w:jc w:val="center"/>
              <w:rPr>
                <w:color w:val="000000"/>
                <w:lang w:val="en-US" w:eastAsia="ru-RU"/>
              </w:rPr>
            </w:pPr>
            <w:r w:rsidRPr="007761EF">
              <w:rPr>
                <w:color w:val="000000"/>
                <w:lang w:val="en-US" w:eastAsia="ru-RU"/>
              </w:rPr>
              <w:t>Mg</w:t>
            </w:r>
          </w:p>
        </w:tc>
        <w:tc>
          <w:tcPr>
            <w:tcW w:w="1792" w:type="dxa"/>
            <w:shd w:val="clear" w:color="auto" w:fill="auto"/>
            <w:noWrap/>
            <w:vAlign w:val="center"/>
            <w:hideMark/>
          </w:tcPr>
          <w:p w14:paraId="2B32607B" w14:textId="77777777" w:rsidR="005650A7" w:rsidRPr="007761EF" w:rsidRDefault="005650A7" w:rsidP="007761EF">
            <w:pPr>
              <w:spacing w:after="0" w:line="240" w:lineRule="auto"/>
              <w:ind w:firstLine="0"/>
              <w:contextualSpacing/>
              <w:rPr>
                <w:color w:val="000000"/>
                <w:lang w:eastAsia="ru-RU"/>
              </w:rPr>
            </w:pPr>
            <w:r w:rsidRPr="007761EF">
              <w:rPr>
                <w:color w:val="000000"/>
                <w:lang w:eastAsia="ru-RU"/>
              </w:rPr>
              <w:t>Диопсид (</w:t>
            </w:r>
            <w:proofErr w:type="spellStart"/>
            <w:r w:rsidRPr="007761EF">
              <w:rPr>
                <w:color w:val="000000"/>
                <w:lang w:eastAsia="ru-RU"/>
              </w:rPr>
              <w:t>Gol_diops</w:t>
            </w:r>
            <w:proofErr w:type="spellEnd"/>
            <w:r w:rsidRPr="007761EF">
              <w:rPr>
                <w:color w:val="000000"/>
                <w:lang w:eastAsia="ru-RU"/>
              </w:rPr>
              <w:t>)</w:t>
            </w:r>
          </w:p>
        </w:tc>
        <w:tc>
          <w:tcPr>
            <w:tcW w:w="2243" w:type="dxa"/>
            <w:vAlign w:val="center"/>
          </w:tcPr>
          <w:p w14:paraId="46AC077B" w14:textId="77777777" w:rsidR="005650A7" w:rsidRPr="007761EF" w:rsidRDefault="005650A7" w:rsidP="007761EF">
            <w:pPr>
              <w:spacing w:after="0" w:line="240" w:lineRule="auto"/>
              <w:contextualSpacing/>
              <w:jc w:val="center"/>
              <w:rPr>
                <w:color w:val="000000"/>
                <w:lang w:eastAsia="ru-RU"/>
              </w:rPr>
            </w:pPr>
            <w:r w:rsidRPr="007761EF">
              <w:rPr>
                <w:color w:val="000000"/>
                <w:lang w:eastAsia="ru-RU"/>
              </w:rPr>
              <w:t>0.04</w:t>
            </w:r>
          </w:p>
        </w:tc>
        <w:tc>
          <w:tcPr>
            <w:tcW w:w="2977" w:type="dxa"/>
            <w:vAlign w:val="center"/>
          </w:tcPr>
          <w:p w14:paraId="50A7C762" w14:textId="77777777" w:rsidR="005650A7" w:rsidRPr="007761EF" w:rsidRDefault="005650A7" w:rsidP="007761EF">
            <w:pPr>
              <w:spacing w:after="0" w:line="240" w:lineRule="auto"/>
              <w:contextualSpacing/>
              <w:jc w:val="center"/>
              <w:rPr>
                <w:color w:val="000000"/>
                <w:lang w:eastAsia="ru-RU"/>
              </w:rPr>
            </w:pPr>
          </w:p>
        </w:tc>
      </w:tr>
      <w:tr w:rsidR="007761EF" w:rsidRPr="007761EF" w14:paraId="318FF750" w14:textId="77777777" w:rsidTr="007761EF">
        <w:trPr>
          <w:trHeight w:val="404"/>
          <w:jc w:val="center"/>
        </w:trPr>
        <w:tc>
          <w:tcPr>
            <w:tcW w:w="1753" w:type="dxa"/>
            <w:vAlign w:val="center"/>
          </w:tcPr>
          <w:p w14:paraId="372E8CCC" w14:textId="77777777" w:rsidR="005650A7" w:rsidRPr="007761EF" w:rsidRDefault="005650A7" w:rsidP="007761EF">
            <w:pPr>
              <w:spacing w:after="0" w:line="240" w:lineRule="auto"/>
              <w:contextualSpacing/>
              <w:jc w:val="center"/>
              <w:rPr>
                <w:color w:val="000000"/>
                <w:lang w:val="en-US" w:eastAsia="ru-RU"/>
              </w:rPr>
            </w:pPr>
            <w:r w:rsidRPr="007761EF">
              <w:rPr>
                <w:color w:val="000000"/>
                <w:lang w:val="en-US" w:eastAsia="ru-RU"/>
              </w:rPr>
              <w:t>Al</w:t>
            </w:r>
          </w:p>
        </w:tc>
        <w:tc>
          <w:tcPr>
            <w:tcW w:w="1792" w:type="dxa"/>
            <w:shd w:val="clear" w:color="auto" w:fill="auto"/>
            <w:noWrap/>
            <w:vAlign w:val="center"/>
            <w:hideMark/>
          </w:tcPr>
          <w:p w14:paraId="0FDC4C5F" w14:textId="77777777" w:rsidR="005650A7" w:rsidRPr="007761EF" w:rsidRDefault="005650A7" w:rsidP="007761EF">
            <w:pPr>
              <w:spacing w:after="0" w:line="240" w:lineRule="auto"/>
              <w:contextualSpacing/>
              <w:jc w:val="center"/>
              <w:rPr>
                <w:color w:val="000000"/>
                <w:lang w:eastAsia="ru-RU"/>
              </w:rPr>
            </w:pPr>
            <w:r w:rsidRPr="007761EF">
              <w:rPr>
                <w:color w:val="000000"/>
                <w:lang w:eastAsia="ru-RU"/>
              </w:rPr>
              <w:t>Al</w:t>
            </w:r>
            <w:r w:rsidRPr="007761EF">
              <w:rPr>
                <w:color w:val="000000"/>
                <w:vertAlign w:val="subscript"/>
                <w:lang w:eastAsia="ru-RU"/>
              </w:rPr>
              <w:t>2</w:t>
            </w:r>
            <w:r w:rsidRPr="007761EF">
              <w:rPr>
                <w:color w:val="000000"/>
                <w:lang w:eastAsia="ru-RU"/>
              </w:rPr>
              <w:t>O</w:t>
            </w:r>
            <w:r w:rsidRPr="007761EF">
              <w:rPr>
                <w:color w:val="000000"/>
                <w:vertAlign w:val="subscript"/>
                <w:lang w:eastAsia="ru-RU"/>
              </w:rPr>
              <w:t>3</w:t>
            </w:r>
          </w:p>
        </w:tc>
        <w:tc>
          <w:tcPr>
            <w:tcW w:w="2243" w:type="dxa"/>
            <w:vAlign w:val="center"/>
          </w:tcPr>
          <w:p w14:paraId="116A9F52" w14:textId="77777777" w:rsidR="005650A7" w:rsidRPr="007761EF" w:rsidRDefault="005650A7" w:rsidP="007761EF">
            <w:pPr>
              <w:spacing w:after="0" w:line="240" w:lineRule="auto"/>
              <w:contextualSpacing/>
              <w:jc w:val="center"/>
              <w:rPr>
                <w:color w:val="000000"/>
                <w:lang w:eastAsia="ru-RU"/>
              </w:rPr>
            </w:pPr>
            <w:r w:rsidRPr="007761EF">
              <w:rPr>
                <w:color w:val="000000"/>
                <w:lang w:eastAsia="ru-RU"/>
              </w:rPr>
              <w:t>0.04</w:t>
            </w:r>
          </w:p>
        </w:tc>
        <w:tc>
          <w:tcPr>
            <w:tcW w:w="2977" w:type="dxa"/>
            <w:vAlign w:val="center"/>
          </w:tcPr>
          <w:p w14:paraId="426ED937" w14:textId="77777777" w:rsidR="005650A7" w:rsidRPr="007761EF" w:rsidRDefault="005650A7" w:rsidP="007761EF">
            <w:pPr>
              <w:spacing w:after="0" w:line="240" w:lineRule="auto"/>
              <w:contextualSpacing/>
              <w:jc w:val="center"/>
              <w:rPr>
                <w:color w:val="000000"/>
                <w:lang w:eastAsia="ru-RU"/>
              </w:rPr>
            </w:pPr>
          </w:p>
        </w:tc>
      </w:tr>
      <w:tr w:rsidR="007761EF" w:rsidRPr="007761EF" w14:paraId="40736C36" w14:textId="77777777" w:rsidTr="007761EF">
        <w:trPr>
          <w:trHeight w:val="424"/>
          <w:jc w:val="center"/>
        </w:trPr>
        <w:tc>
          <w:tcPr>
            <w:tcW w:w="1753" w:type="dxa"/>
            <w:vAlign w:val="center"/>
          </w:tcPr>
          <w:p w14:paraId="7B0F73DA" w14:textId="77777777" w:rsidR="005650A7" w:rsidRPr="007761EF" w:rsidRDefault="005650A7" w:rsidP="007761EF">
            <w:pPr>
              <w:spacing w:after="0" w:line="240" w:lineRule="auto"/>
              <w:contextualSpacing/>
              <w:jc w:val="center"/>
              <w:rPr>
                <w:color w:val="000000"/>
                <w:lang w:val="en-US" w:eastAsia="ru-RU"/>
              </w:rPr>
            </w:pPr>
            <w:r w:rsidRPr="007761EF">
              <w:rPr>
                <w:color w:val="000000"/>
                <w:lang w:val="en-US" w:eastAsia="ru-RU"/>
              </w:rPr>
              <w:t>Si</w:t>
            </w:r>
          </w:p>
        </w:tc>
        <w:tc>
          <w:tcPr>
            <w:tcW w:w="1792" w:type="dxa"/>
            <w:shd w:val="clear" w:color="auto" w:fill="auto"/>
            <w:noWrap/>
            <w:vAlign w:val="center"/>
            <w:hideMark/>
          </w:tcPr>
          <w:p w14:paraId="1ADC7074" w14:textId="77777777" w:rsidR="005650A7" w:rsidRPr="007761EF" w:rsidRDefault="005650A7" w:rsidP="007761EF">
            <w:pPr>
              <w:spacing w:after="0" w:line="240" w:lineRule="auto"/>
              <w:contextualSpacing/>
              <w:jc w:val="center"/>
              <w:rPr>
                <w:color w:val="000000"/>
                <w:lang w:eastAsia="ru-RU"/>
              </w:rPr>
            </w:pPr>
            <w:r w:rsidRPr="007761EF">
              <w:rPr>
                <w:color w:val="000000"/>
                <w:lang w:eastAsia="ru-RU"/>
              </w:rPr>
              <w:t>SiO</w:t>
            </w:r>
            <w:r w:rsidRPr="007761EF">
              <w:rPr>
                <w:color w:val="000000"/>
                <w:vertAlign w:val="subscript"/>
                <w:lang w:eastAsia="ru-RU"/>
              </w:rPr>
              <w:t>2</w:t>
            </w:r>
          </w:p>
        </w:tc>
        <w:tc>
          <w:tcPr>
            <w:tcW w:w="2243" w:type="dxa"/>
            <w:vAlign w:val="center"/>
          </w:tcPr>
          <w:p w14:paraId="15D2C82B" w14:textId="77777777" w:rsidR="005650A7" w:rsidRPr="007761EF" w:rsidRDefault="005650A7" w:rsidP="007761EF">
            <w:pPr>
              <w:spacing w:after="0" w:line="240" w:lineRule="auto"/>
              <w:contextualSpacing/>
              <w:jc w:val="center"/>
              <w:rPr>
                <w:color w:val="000000"/>
                <w:lang w:val="en-US" w:eastAsia="ru-RU"/>
              </w:rPr>
            </w:pPr>
            <w:r w:rsidRPr="007761EF">
              <w:rPr>
                <w:color w:val="000000"/>
                <w:lang w:eastAsia="ru-RU"/>
              </w:rPr>
              <w:t>0.07</w:t>
            </w:r>
          </w:p>
        </w:tc>
        <w:tc>
          <w:tcPr>
            <w:tcW w:w="2977" w:type="dxa"/>
            <w:vAlign w:val="center"/>
          </w:tcPr>
          <w:p w14:paraId="5255CBAC" w14:textId="77777777" w:rsidR="005650A7" w:rsidRPr="007761EF" w:rsidRDefault="005650A7" w:rsidP="007761EF">
            <w:pPr>
              <w:spacing w:after="0" w:line="240" w:lineRule="auto"/>
              <w:contextualSpacing/>
              <w:jc w:val="center"/>
              <w:rPr>
                <w:color w:val="000000"/>
                <w:lang w:val="en-US" w:eastAsia="ru-RU"/>
              </w:rPr>
            </w:pPr>
          </w:p>
        </w:tc>
      </w:tr>
      <w:tr w:rsidR="007761EF" w:rsidRPr="007761EF" w14:paraId="444B1CC1" w14:textId="77777777" w:rsidTr="007761EF">
        <w:trPr>
          <w:trHeight w:val="699"/>
          <w:jc w:val="center"/>
        </w:trPr>
        <w:tc>
          <w:tcPr>
            <w:tcW w:w="1753" w:type="dxa"/>
            <w:vAlign w:val="center"/>
          </w:tcPr>
          <w:p w14:paraId="270B2E95" w14:textId="77777777" w:rsidR="005650A7" w:rsidRPr="007761EF" w:rsidRDefault="005650A7" w:rsidP="007761EF">
            <w:pPr>
              <w:spacing w:after="0" w:line="240" w:lineRule="auto"/>
              <w:contextualSpacing/>
              <w:jc w:val="center"/>
              <w:rPr>
                <w:color w:val="000000"/>
                <w:lang w:val="en-US" w:eastAsia="ru-RU"/>
              </w:rPr>
            </w:pPr>
            <w:r w:rsidRPr="007761EF">
              <w:rPr>
                <w:color w:val="000000"/>
                <w:lang w:val="en-US" w:eastAsia="ru-RU"/>
              </w:rPr>
              <w:t>P</w:t>
            </w:r>
          </w:p>
        </w:tc>
        <w:tc>
          <w:tcPr>
            <w:tcW w:w="1792" w:type="dxa"/>
            <w:shd w:val="clear" w:color="auto" w:fill="auto"/>
            <w:noWrap/>
            <w:vAlign w:val="center"/>
            <w:hideMark/>
          </w:tcPr>
          <w:p w14:paraId="7306D13C" w14:textId="77777777" w:rsidR="005650A7" w:rsidRPr="007761EF" w:rsidRDefault="005650A7" w:rsidP="007761EF">
            <w:pPr>
              <w:spacing w:after="0" w:line="240" w:lineRule="auto"/>
              <w:ind w:firstLine="0"/>
              <w:contextualSpacing/>
              <w:rPr>
                <w:color w:val="000000"/>
                <w:lang w:eastAsia="ru-RU"/>
              </w:rPr>
            </w:pPr>
            <w:r w:rsidRPr="007761EF">
              <w:rPr>
                <w:color w:val="000000"/>
                <w:lang w:eastAsia="ru-RU"/>
              </w:rPr>
              <w:t>Монацит (CePO</w:t>
            </w:r>
            <w:r w:rsidRPr="007761EF">
              <w:rPr>
                <w:color w:val="000000"/>
                <w:vertAlign w:val="subscript"/>
                <w:lang w:eastAsia="ru-RU"/>
              </w:rPr>
              <w:t>4</w:t>
            </w:r>
            <w:r w:rsidRPr="007761EF">
              <w:rPr>
                <w:color w:val="000000"/>
                <w:lang w:eastAsia="ru-RU"/>
              </w:rPr>
              <w:t>)</w:t>
            </w:r>
          </w:p>
        </w:tc>
        <w:tc>
          <w:tcPr>
            <w:tcW w:w="2243" w:type="dxa"/>
            <w:vAlign w:val="center"/>
          </w:tcPr>
          <w:p w14:paraId="6795D318" w14:textId="77777777" w:rsidR="005650A7" w:rsidRPr="007761EF" w:rsidRDefault="005650A7" w:rsidP="007761EF">
            <w:pPr>
              <w:spacing w:after="0" w:line="240" w:lineRule="auto"/>
              <w:contextualSpacing/>
              <w:jc w:val="center"/>
              <w:rPr>
                <w:color w:val="000000"/>
                <w:lang w:eastAsia="ru-RU"/>
              </w:rPr>
            </w:pPr>
            <w:r w:rsidRPr="007761EF">
              <w:rPr>
                <w:color w:val="000000"/>
                <w:lang w:eastAsia="ru-RU"/>
              </w:rPr>
              <w:t>0.02</w:t>
            </w:r>
          </w:p>
        </w:tc>
        <w:tc>
          <w:tcPr>
            <w:tcW w:w="2977" w:type="dxa"/>
            <w:vAlign w:val="center"/>
          </w:tcPr>
          <w:p w14:paraId="79D039EC" w14:textId="77777777" w:rsidR="005650A7" w:rsidRPr="007761EF" w:rsidRDefault="005650A7" w:rsidP="007761EF">
            <w:pPr>
              <w:spacing w:after="0" w:line="240" w:lineRule="auto"/>
              <w:contextualSpacing/>
              <w:jc w:val="center"/>
              <w:rPr>
                <w:color w:val="000000"/>
                <w:lang w:eastAsia="ru-RU"/>
              </w:rPr>
            </w:pPr>
            <w:r w:rsidRPr="007761EF">
              <w:rPr>
                <w:color w:val="000000"/>
                <w:lang w:eastAsia="ru-RU"/>
              </w:rPr>
              <w:t>0.06</w:t>
            </w:r>
          </w:p>
        </w:tc>
      </w:tr>
      <w:tr w:rsidR="007761EF" w:rsidRPr="007761EF" w14:paraId="217AA8AD" w14:textId="77777777" w:rsidTr="007761EF">
        <w:trPr>
          <w:trHeight w:val="398"/>
          <w:jc w:val="center"/>
        </w:trPr>
        <w:tc>
          <w:tcPr>
            <w:tcW w:w="1753" w:type="dxa"/>
            <w:vAlign w:val="center"/>
          </w:tcPr>
          <w:p w14:paraId="109AE212" w14:textId="77777777" w:rsidR="005650A7" w:rsidRPr="007761EF" w:rsidRDefault="005650A7" w:rsidP="007761EF">
            <w:pPr>
              <w:spacing w:after="0" w:line="240" w:lineRule="auto"/>
              <w:contextualSpacing/>
              <w:jc w:val="center"/>
              <w:rPr>
                <w:color w:val="000000"/>
                <w:lang w:val="en-US" w:eastAsia="ru-RU"/>
              </w:rPr>
            </w:pPr>
            <w:r w:rsidRPr="007761EF">
              <w:rPr>
                <w:color w:val="000000"/>
                <w:lang w:val="en-US" w:eastAsia="ru-RU"/>
              </w:rPr>
              <w:t>S</w:t>
            </w:r>
          </w:p>
        </w:tc>
        <w:tc>
          <w:tcPr>
            <w:tcW w:w="1792" w:type="dxa"/>
            <w:shd w:val="clear" w:color="auto" w:fill="auto"/>
            <w:noWrap/>
            <w:vAlign w:val="center"/>
            <w:hideMark/>
          </w:tcPr>
          <w:p w14:paraId="20DF8ABB" w14:textId="77777777" w:rsidR="005650A7" w:rsidRPr="007761EF" w:rsidRDefault="005650A7" w:rsidP="007761EF">
            <w:pPr>
              <w:spacing w:after="0" w:line="240" w:lineRule="auto"/>
              <w:ind w:firstLine="0"/>
              <w:contextualSpacing/>
              <w:rPr>
                <w:color w:val="000000"/>
                <w:lang w:eastAsia="ru-RU"/>
              </w:rPr>
            </w:pPr>
            <w:r w:rsidRPr="007761EF">
              <w:rPr>
                <w:color w:val="000000"/>
                <w:lang w:eastAsia="ru-RU"/>
              </w:rPr>
              <w:t>Пирит (FeS</w:t>
            </w:r>
            <w:r w:rsidRPr="007761EF">
              <w:rPr>
                <w:color w:val="000000"/>
                <w:vertAlign w:val="subscript"/>
                <w:lang w:eastAsia="ru-RU"/>
              </w:rPr>
              <w:t>2</w:t>
            </w:r>
            <w:r w:rsidRPr="007761EF">
              <w:rPr>
                <w:color w:val="000000"/>
                <w:lang w:eastAsia="ru-RU"/>
              </w:rPr>
              <w:t>)</w:t>
            </w:r>
          </w:p>
        </w:tc>
        <w:tc>
          <w:tcPr>
            <w:tcW w:w="2243" w:type="dxa"/>
            <w:vAlign w:val="center"/>
          </w:tcPr>
          <w:p w14:paraId="3AD9F8A2" w14:textId="77777777" w:rsidR="005650A7" w:rsidRPr="007761EF" w:rsidRDefault="005650A7" w:rsidP="007761EF">
            <w:pPr>
              <w:spacing w:after="0" w:line="240" w:lineRule="auto"/>
              <w:contextualSpacing/>
              <w:jc w:val="center"/>
              <w:rPr>
                <w:color w:val="000000"/>
                <w:lang w:eastAsia="ru-RU"/>
              </w:rPr>
            </w:pPr>
            <w:r w:rsidRPr="007761EF">
              <w:rPr>
                <w:color w:val="000000"/>
                <w:lang w:eastAsia="ru-RU"/>
              </w:rPr>
              <w:t>0.02</w:t>
            </w:r>
          </w:p>
        </w:tc>
        <w:tc>
          <w:tcPr>
            <w:tcW w:w="2977" w:type="dxa"/>
            <w:vAlign w:val="center"/>
          </w:tcPr>
          <w:p w14:paraId="57242A61" w14:textId="77777777" w:rsidR="005650A7" w:rsidRPr="007761EF" w:rsidRDefault="005650A7" w:rsidP="007761EF">
            <w:pPr>
              <w:spacing w:after="0" w:line="240" w:lineRule="auto"/>
              <w:contextualSpacing/>
              <w:jc w:val="center"/>
              <w:rPr>
                <w:color w:val="000000"/>
                <w:lang w:eastAsia="ru-RU"/>
              </w:rPr>
            </w:pPr>
            <w:r w:rsidRPr="007761EF">
              <w:rPr>
                <w:color w:val="000000"/>
                <w:lang w:eastAsia="ru-RU"/>
              </w:rPr>
              <w:t>0.06</w:t>
            </w:r>
          </w:p>
        </w:tc>
      </w:tr>
      <w:tr w:rsidR="007761EF" w:rsidRPr="007761EF" w14:paraId="362C6DEC" w14:textId="77777777" w:rsidTr="007761EF">
        <w:trPr>
          <w:trHeight w:val="418"/>
          <w:jc w:val="center"/>
        </w:trPr>
        <w:tc>
          <w:tcPr>
            <w:tcW w:w="1753" w:type="dxa"/>
            <w:vAlign w:val="center"/>
          </w:tcPr>
          <w:p w14:paraId="79A5BBBA" w14:textId="77777777" w:rsidR="005650A7" w:rsidRPr="007761EF" w:rsidRDefault="005650A7" w:rsidP="007761EF">
            <w:pPr>
              <w:spacing w:after="0" w:line="240" w:lineRule="auto"/>
              <w:contextualSpacing/>
              <w:jc w:val="center"/>
              <w:rPr>
                <w:color w:val="000000"/>
                <w:lang w:val="en-US" w:eastAsia="ru-RU"/>
              </w:rPr>
            </w:pPr>
            <w:proofErr w:type="spellStart"/>
            <w:r w:rsidRPr="007761EF">
              <w:rPr>
                <w:color w:val="000000"/>
                <w:lang w:val="en-US" w:eastAsia="ru-RU"/>
              </w:rPr>
              <w:t>Cl</w:t>
            </w:r>
            <w:proofErr w:type="spellEnd"/>
          </w:p>
        </w:tc>
        <w:tc>
          <w:tcPr>
            <w:tcW w:w="1792" w:type="dxa"/>
            <w:shd w:val="clear" w:color="auto" w:fill="auto"/>
            <w:noWrap/>
            <w:vAlign w:val="center"/>
            <w:hideMark/>
          </w:tcPr>
          <w:p w14:paraId="661FC854" w14:textId="77777777" w:rsidR="005650A7" w:rsidRPr="007761EF" w:rsidRDefault="005650A7" w:rsidP="007761EF">
            <w:pPr>
              <w:spacing w:after="0" w:line="240" w:lineRule="auto"/>
              <w:ind w:firstLine="0"/>
              <w:contextualSpacing/>
              <w:rPr>
                <w:color w:val="000000"/>
                <w:lang w:eastAsia="ru-RU"/>
              </w:rPr>
            </w:pPr>
            <w:proofErr w:type="spellStart"/>
            <w:r w:rsidRPr="007761EF">
              <w:rPr>
                <w:color w:val="000000"/>
                <w:lang w:eastAsia="ru-RU"/>
              </w:rPr>
              <w:t>NaCl</w:t>
            </w:r>
            <w:proofErr w:type="spellEnd"/>
          </w:p>
        </w:tc>
        <w:tc>
          <w:tcPr>
            <w:tcW w:w="2243" w:type="dxa"/>
            <w:vAlign w:val="center"/>
          </w:tcPr>
          <w:p w14:paraId="6C551ECC" w14:textId="77777777" w:rsidR="005650A7" w:rsidRPr="007761EF" w:rsidRDefault="005650A7" w:rsidP="007761EF">
            <w:pPr>
              <w:spacing w:after="0" w:line="240" w:lineRule="auto"/>
              <w:contextualSpacing/>
              <w:jc w:val="center"/>
              <w:rPr>
                <w:color w:val="000000"/>
                <w:lang w:eastAsia="ru-RU"/>
              </w:rPr>
            </w:pPr>
            <w:r w:rsidRPr="007761EF">
              <w:rPr>
                <w:color w:val="000000"/>
                <w:lang w:eastAsia="ru-RU"/>
              </w:rPr>
              <w:t>0.02</w:t>
            </w:r>
          </w:p>
        </w:tc>
        <w:tc>
          <w:tcPr>
            <w:tcW w:w="2977" w:type="dxa"/>
            <w:vAlign w:val="center"/>
          </w:tcPr>
          <w:p w14:paraId="188B619C" w14:textId="77777777" w:rsidR="005650A7" w:rsidRPr="007761EF" w:rsidRDefault="005650A7" w:rsidP="007761EF">
            <w:pPr>
              <w:spacing w:after="0" w:line="240" w:lineRule="auto"/>
              <w:contextualSpacing/>
              <w:jc w:val="center"/>
              <w:rPr>
                <w:color w:val="000000"/>
                <w:lang w:eastAsia="ru-RU"/>
              </w:rPr>
            </w:pPr>
            <w:r w:rsidRPr="007761EF">
              <w:rPr>
                <w:color w:val="000000"/>
                <w:lang w:eastAsia="ru-RU"/>
              </w:rPr>
              <w:t>0.06</w:t>
            </w:r>
          </w:p>
        </w:tc>
      </w:tr>
      <w:tr w:rsidR="007761EF" w:rsidRPr="007761EF" w14:paraId="77335941" w14:textId="77777777" w:rsidTr="007761EF">
        <w:trPr>
          <w:trHeight w:val="552"/>
          <w:jc w:val="center"/>
        </w:trPr>
        <w:tc>
          <w:tcPr>
            <w:tcW w:w="1753" w:type="dxa"/>
            <w:vAlign w:val="center"/>
          </w:tcPr>
          <w:p w14:paraId="6181BED0" w14:textId="77777777" w:rsidR="005650A7" w:rsidRPr="007761EF" w:rsidRDefault="005650A7" w:rsidP="007761EF">
            <w:pPr>
              <w:spacing w:after="0" w:line="240" w:lineRule="auto"/>
              <w:contextualSpacing/>
              <w:jc w:val="center"/>
              <w:rPr>
                <w:color w:val="000000"/>
                <w:lang w:val="en-US" w:eastAsia="ru-RU"/>
              </w:rPr>
            </w:pPr>
            <w:r w:rsidRPr="007761EF">
              <w:rPr>
                <w:color w:val="000000"/>
                <w:lang w:val="en-US" w:eastAsia="ru-RU"/>
              </w:rPr>
              <w:t>K</w:t>
            </w:r>
          </w:p>
        </w:tc>
        <w:tc>
          <w:tcPr>
            <w:tcW w:w="1792" w:type="dxa"/>
            <w:shd w:val="clear" w:color="auto" w:fill="auto"/>
            <w:noWrap/>
            <w:vAlign w:val="center"/>
            <w:hideMark/>
          </w:tcPr>
          <w:p w14:paraId="498227B9" w14:textId="77777777" w:rsidR="005650A7" w:rsidRPr="007761EF" w:rsidRDefault="005650A7" w:rsidP="007761EF">
            <w:pPr>
              <w:spacing w:after="0" w:line="240" w:lineRule="auto"/>
              <w:ind w:firstLine="0"/>
              <w:contextualSpacing/>
              <w:rPr>
                <w:color w:val="000000"/>
                <w:lang w:eastAsia="ru-RU"/>
              </w:rPr>
            </w:pPr>
            <w:r w:rsidRPr="007761EF">
              <w:rPr>
                <w:color w:val="000000"/>
                <w:lang w:eastAsia="ru-RU"/>
              </w:rPr>
              <w:t>Ортоклаз (359-1)</w:t>
            </w:r>
          </w:p>
        </w:tc>
        <w:tc>
          <w:tcPr>
            <w:tcW w:w="2243" w:type="dxa"/>
            <w:vAlign w:val="center"/>
          </w:tcPr>
          <w:p w14:paraId="213ACF35" w14:textId="77777777" w:rsidR="005650A7" w:rsidRPr="007761EF" w:rsidRDefault="005650A7" w:rsidP="007761EF">
            <w:pPr>
              <w:spacing w:after="0" w:line="240" w:lineRule="auto"/>
              <w:contextualSpacing/>
              <w:jc w:val="center"/>
              <w:rPr>
                <w:color w:val="000000"/>
                <w:lang w:eastAsia="ru-RU"/>
              </w:rPr>
            </w:pPr>
            <w:r w:rsidRPr="007761EF">
              <w:rPr>
                <w:color w:val="000000"/>
                <w:lang w:eastAsia="ru-RU"/>
              </w:rPr>
              <w:t>0.02</w:t>
            </w:r>
          </w:p>
        </w:tc>
        <w:tc>
          <w:tcPr>
            <w:tcW w:w="2977" w:type="dxa"/>
            <w:vAlign w:val="center"/>
          </w:tcPr>
          <w:p w14:paraId="682BE66A" w14:textId="77777777" w:rsidR="005650A7" w:rsidRPr="007761EF" w:rsidRDefault="005650A7" w:rsidP="007761EF">
            <w:pPr>
              <w:spacing w:after="0" w:line="240" w:lineRule="auto"/>
              <w:contextualSpacing/>
              <w:jc w:val="center"/>
              <w:rPr>
                <w:color w:val="000000"/>
                <w:lang w:eastAsia="ru-RU"/>
              </w:rPr>
            </w:pPr>
            <w:r w:rsidRPr="007761EF">
              <w:rPr>
                <w:color w:val="000000"/>
                <w:lang w:eastAsia="ru-RU"/>
              </w:rPr>
              <w:t>0.06</w:t>
            </w:r>
          </w:p>
        </w:tc>
      </w:tr>
      <w:tr w:rsidR="007761EF" w:rsidRPr="007761EF" w14:paraId="4EB977FC" w14:textId="77777777" w:rsidTr="007761EF">
        <w:trPr>
          <w:trHeight w:val="558"/>
          <w:jc w:val="center"/>
        </w:trPr>
        <w:tc>
          <w:tcPr>
            <w:tcW w:w="1753" w:type="dxa"/>
            <w:vAlign w:val="center"/>
          </w:tcPr>
          <w:p w14:paraId="07F41046" w14:textId="77777777" w:rsidR="005650A7" w:rsidRPr="007761EF" w:rsidRDefault="005650A7" w:rsidP="007761EF">
            <w:pPr>
              <w:spacing w:after="0" w:line="240" w:lineRule="auto"/>
              <w:contextualSpacing/>
              <w:jc w:val="center"/>
              <w:rPr>
                <w:color w:val="000000"/>
                <w:lang w:val="en-US" w:eastAsia="ru-RU"/>
              </w:rPr>
            </w:pPr>
            <w:proofErr w:type="spellStart"/>
            <w:r w:rsidRPr="007761EF">
              <w:rPr>
                <w:color w:val="000000"/>
                <w:lang w:val="en-US" w:eastAsia="ru-RU"/>
              </w:rPr>
              <w:lastRenderedPageBreak/>
              <w:t>Ca</w:t>
            </w:r>
            <w:proofErr w:type="spellEnd"/>
          </w:p>
        </w:tc>
        <w:tc>
          <w:tcPr>
            <w:tcW w:w="1792" w:type="dxa"/>
            <w:shd w:val="clear" w:color="auto" w:fill="auto"/>
            <w:noWrap/>
            <w:vAlign w:val="center"/>
            <w:hideMark/>
          </w:tcPr>
          <w:p w14:paraId="3920F212" w14:textId="77777777" w:rsidR="005650A7" w:rsidRPr="007761EF" w:rsidRDefault="005650A7" w:rsidP="007761EF">
            <w:pPr>
              <w:spacing w:after="0" w:line="240" w:lineRule="auto"/>
              <w:contextualSpacing/>
              <w:jc w:val="center"/>
              <w:rPr>
                <w:color w:val="000000"/>
                <w:lang w:eastAsia="ru-RU"/>
              </w:rPr>
            </w:pPr>
            <w:r w:rsidRPr="007761EF">
              <w:rPr>
                <w:color w:val="000000"/>
                <w:lang w:eastAsia="ru-RU"/>
              </w:rPr>
              <w:t>Ca</w:t>
            </w:r>
            <w:r w:rsidRPr="007761EF">
              <w:rPr>
                <w:color w:val="000000"/>
                <w:vertAlign w:val="subscript"/>
                <w:lang w:eastAsia="ru-RU"/>
              </w:rPr>
              <w:t>2</w:t>
            </w:r>
            <w:r w:rsidRPr="007761EF">
              <w:rPr>
                <w:color w:val="000000"/>
                <w:lang w:eastAsia="ru-RU"/>
              </w:rPr>
              <w:t>P</w:t>
            </w:r>
            <w:r w:rsidRPr="007761EF">
              <w:rPr>
                <w:color w:val="000000"/>
                <w:vertAlign w:val="subscript"/>
                <w:lang w:eastAsia="ru-RU"/>
              </w:rPr>
              <w:t>2</w:t>
            </w:r>
            <w:r w:rsidRPr="007761EF">
              <w:rPr>
                <w:color w:val="000000"/>
                <w:lang w:eastAsia="ru-RU"/>
              </w:rPr>
              <w:t>O</w:t>
            </w:r>
            <w:r w:rsidRPr="007761EF">
              <w:rPr>
                <w:color w:val="000000"/>
                <w:vertAlign w:val="subscript"/>
                <w:lang w:eastAsia="ru-RU"/>
              </w:rPr>
              <w:t>7</w:t>
            </w:r>
          </w:p>
        </w:tc>
        <w:tc>
          <w:tcPr>
            <w:tcW w:w="2243" w:type="dxa"/>
            <w:vAlign w:val="center"/>
          </w:tcPr>
          <w:p w14:paraId="3FF36F8F" w14:textId="77777777" w:rsidR="005650A7" w:rsidRPr="007761EF" w:rsidRDefault="005650A7" w:rsidP="007761EF">
            <w:pPr>
              <w:spacing w:after="0" w:line="240" w:lineRule="auto"/>
              <w:contextualSpacing/>
              <w:jc w:val="center"/>
              <w:rPr>
                <w:color w:val="000000"/>
                <w:lang w:eastAsia="ru-RU"/>
              </w:rPr>
            </w:pPr>
            <w:r w:rsidRPr="007761EF">
              <w:rPr>
                <w:color w:val="000000"/>
                <w:lang w:eastAsia="ru-RU"/>
              </w:rPr>
              <w:t>0.04</w:t>
            </w:r>
          </w:p>
        </w:tc>
        <w:tc>
          <w:tcPr>
            <w:tcW w:w="2977" w:type="dxa"/>
            <w:vAlign w:val="center"/>
          </w:tcPr>
          <w:p w14:paraId="790BA4AD" w14:textId="77777777" w:rsidR="005650A7" w:rsidRPr="007761EF" w:rsidRDefault="005650A7" w:rsidP="007761EF">
            <w:pPr>
              <w:spacing w:after="0" w:line="240" w:lineRule="auto"/>
              <w:contextualSpacing/>
              <w:jc w:val="center"/>
              <w:rPr>
                <w:color w:val="000000"/>
                <w:lang w:eastAsia="ru-RU"/>
              </w:rPr>
            </w:pPr>
            <w:r w:rsidRPr="007761EF">
              <w:rPr>
                <w:color w:val="000000"/>
                <w:lang w:eastAsia="ru-RU"/>
              </w:rPr>
              <w:t>0.12</w:t>
            </w:r>
          </w:p>
        </w:tc>
      </w:tr>
      <w:tr w:rsidR="007761EF" w:rsidRPr="007761EF" w14:paraId="52A00919" w14:textId="77777777" w:rsidTr="007761EF">
        <w:trPr>
          <w:trHeight w:val="416"/>
          <w:jc w:val="center"/>
        </w:trPr>
        <w:tc>
          <w:tcPr>
            <w:tcW w:w="1753" w:type="dxa"/>
            <w:vAlign w:val="center"/>
          </w:tcPr>
          <w:p w14:paraId="3C3CD131" w14:textId="77777777" w:rsidR="005650A7" w:rsidRPr="007761EF" w:rsidRDefault="005650A7" w:rsidP="007761EF">
            <w:pPr>
              <w:spacing w:after="0" w:line="240" w:lineRule="auto"/>
              <w:contextualSpacing/>
              <w:jc w:val="center"/>
              <w:rPr>
                <w:color w:val="000000"/>
                <w:lang w:val="en-US" w:eastAsia="ru-RU"/>
              </w:rPr>
            </w:pPr>
            <w:r w:rsidRPr="007761EF">
              <w:rPr>
                <w:color w:val="000000"/>
                <w:lang w:val="en-US" w:eastAsia="ru-RU"/>
              </w:rPr>
              <w:t>Ti</w:t>
            </w:r>
          </w:p>
        </w:tc>
        <w:tc>
          <w:tcPr>
            <w:tcW w:w="1792" w:type="dxa"/>
            <w:shd w:val="clear" w:color="auto" w:fill="auto"/>
            <w:noWrap/>
            <w:vAlign w:val="center"/>
            <w:hideMark/>
          </w:tcPr>
          <w:p w14:paraId="04322C0E" w14:textId="77777777" w:rsidR="005650A7" w:rsidRPr="007761EF" w:rsidRDefault="005650A7" w:rsidP="007761EF">
            <w:pPr>
              <w:spacing w:after="0" w:line="240" w:lineRule="auto"/>
              <w:contextualSpacing/>
              <w:jc w:val="center"/>
              <w:rPr>
                <w:color w:val="000000"/>
                <w:lang w:eastAsia="ru-RU"/>
              </w:rPr>
            </w:pPr>
            <w:proofErr w:type="spellStart"/>
            <w:r w:rsidRPr="007761EF">
              <w:rPr>
                <w:color w:val="000000"/>
                <w:lang w:eastAsia="ru-RU"/>
              </w:rPr>
              <w:t>Ti</w:t>
            </w:r>
            <w:proofErr w:type="spellEnd"/>
          </w:p>
        </w:tc>
        <w:tc>
          <w:tcPr>
            <w:tcW w:w="2243" w:type="dxa"/>
            <w:vAlign w:val="center"/>
          </w:tcPr>
          <w:p w14:paraId="13D0D41B" w14:textId="77777777" w:rsidR="005650A7" w:rsidRPr="007761EF" w:rsidRDefault="005650A7" w:rsidP="007761EF">
            <w:pPr>
              <w:spacing w:after="0" w:line="240" w:lineRule="auto"/>
              <w:contextualSpacing/>
              <w:jc w:val="center"/>
              <w:rPr>
                <w:color w:val="000000"/>
                <w:lang w:val="en-US" w:eastAsia="ru-RU"/>
              </w:rPr>
            </w:pPr>
            <w:r w:rsidRPr="007761EF">
              <w:rPr>
                <w:color w:val="000000"/>
                <w:lang w:eastAsia="ru-RU"/>
              </w:rPr>
              <w:t>0.0</w:t>
            </w:r>
            <w:r w:rsidRPr="007761EF">
              <w:rPr>
                <w:color w:val="000000"/>
                <w:lang w:val="en-US" w:eastAsia="ru-RU"/>
              </w:rPr>
              <w:t>2</w:t>
            </w:r>
          </w:p>
        </w:tc>
        <w:tc>
          <w:tcPr>
            <w:tcW w:w="2977" w:type="dxa"/>
            <w:vAlign w:val="center"/>
          </w:tcPr>
          <w:p w14:paraId="4D65BA11" w14:textId="77777777" w:rsidR="005650A7" w:rsidRPr="007761EF" w:rsidRDefault="005650A7" w:rsidP="007761EF">
            <w:pPr>
              <w:spacing w:after="0" w:line="240" w:lineRule="auto"/>
              <w:contextualSpacing/>
              <w:jc w:val="center"/>
              <w:rPr>
                <w:color w:val="000000"/>
                <w:lang w:val="en-US" w:eastAsia="ru-RU"/>
              </w:rPr>
            </w:pPr>
            <w:r w:rsidRPr="007761EF">
              <w:rPr>
                <w:color w:val="000000"/>
                <w:lang w:eastAsia="ru-RU"/>
              </w:rPr>
              <w:t>0.0</w:t>
            </w:r>
            <w:r w:rsidRPr="007761EF">
              <w:rPr>
                <w:color w:val="000000"/>
                <w:lang w:val="en-US" w:eastAsia="ru-RU"/>
              </w:rPr>
              <w:t>6</w:t>
            </w:r>
          </w:p>
        </w:tc>
      </w:tr>
      <w:tr w:rsidR="007761EF" w:rsidRPr="007761EF" w14:paraId="67631773" w14:textId="77777777" w:rsidTr="007761EF">
        <w:trPr>
          <w:trHeight w:val="275"/>
          <w:jc w:val="center"/>
        </w:trPr>
        <w:tc>
          <w:tcPr>
            <w:tcW w:w="1753" w:type="dxa"/>
            <w:vAlign w:val="center"/>
          </w:tcPr>
          <w:p w14:paraId="6089E5A3" w14:textId="77777777" w:rsidR="005650A7" w:rsidRPr="007761EF" w:rsidRDefault="005650A7" w:rsidP="007761EF">
            <w:pPr>
              <w:spacing w:after="0" w:line="240" w:lineRule="auto"/>
              <w:contextualSpacing/>
              <w:jc w:val="center"/>
              <w:rPr>
                <w:color w:val="000000"/>
                <w:lang w:val="en-US" w:eastAsia="ru-RU"/>
              </w:rPr>
            </w:pPr>
            <w:proofErr w:type="spellStart"/>
            <w:r w:rsidRPr="007761EF">
              <w:rPr>
                <w:color w:val="000000"/>
                <w:lang w:val="en-US" w:eastAsia="ru-RU"/>
              </w:rPr>
              <w:t>Mn</w:t>
            </w:r>
            <w:proofErr w:type="spellEnd"/>
          </w:p>
        </w:tc>
        <w:tc>
          <w:tcPr>
            <w:tcW w:w="1792" w:type="dxa"/>
            <w:shd w:val="clear" w:color="auto" w:fill="auto"/>
            <w:noWrap/>
            <w:vAlign w:val="center"/>
            <w:hideMark/>
          </w:tcPr>
          <w:p w14:paraId="253B8B16" w14:textId="77777777" w:rsidR="005650A7" w:rsidRPr="007761EF" w:rsidRDefault="005650A7" w:rsidP="007761EF">
            <w:pPr>
              <w:spacing w:after="0" w:line="240" w:lineRule="auto"/>
              <w:contextualSpacing/>
              <w:jc w:val="center"/>
              <w:rPr>
                <w:color w:val="000000"/>
                <w:lang w:eastAsia="ru-RU"/>
              </w:rPr>
            </w:pPr>
            <w:proofErr w:type="spellStart"/>
            <w:r w:rsidRPr="007761EF">
              <w:rPr>
                <w:color w:val="000000"/>
                <w:lang w:eastAsia="ru-RU"/>
              </w:rPr>
              <w:t>Mn</w:t>
            </w:r>
            <w:proofErr w:type="spellEnd"/>
          </w:p>
        </w:tc>
        <w:tc>
          <w:tcPr>
            <w:tcW w:w="2243" w:type="dxa"/>
            <w:vAlign w:val="center"/>
          </w:tcPr>
          <w:p w14:paraId="7853A1E8" w14:textId="77777777" w:rsidR="005650A7" w:rsidRPr="007761EF" w:rsidRDefault="005650A7" w:rsidP="007761EF">
            <w:pPr>
              <w:spacing w:after="0" w:line="240" w:lineRule="auto"/>
              <w:contextualSpacing/>
              <w:jc w:val="center"/>
              <w:rPr>
                <w:color w:val="000000"/>
                <w:lang w:eastAsia="ru-RU"/>
              </w:rPr>
            </w:pPr>
            <w:r w:rsidRPr="007761EF">
              <w:rPr>
                <w:color w:val="000000"/>
                <w:lang w:eastAsia="ru-RU"/>
              </w:rPr>
              <w:t>0.03</w:t>
            </w:r>
          </w:p>
        </w:tc>
        <w:tc>
          <w:tcPr>
            <w:tcW w:w="2977" w:type="dxa"/>
            <w:vAlign w:val="center"/>
          </w:tcPr>
          <w:p w14:paraId="3B773618" w14:textId="77777777" w:rsidR="005650A7" w:rsidRPr="007761EF" w:rsidRDefault="005650A7" w:rsidP="007761EF">
            <w:pPr>
              <w:spacing w:after="0" w:line="240" w:lineRule="auto"/>
              <w:contextualSpacing/>
              <w:jc w:val="center"/>
              <w:rPr>
                <w:color w:val="000000"/>
                <w:lang w:eastAsia="ru-RU"/>
              </w:rPr>
            </w:pPr>
            <w:r w:rsidRPr="007761EF">
              <w:rPr>
                <w:color w:val="000000"/>
                <w:lang w:eastAsia="ru-RU"/>
              </w:rPr>
              <w:t>0.09</w:t>
            </w:r>
          </w:p>
        </w:tc>
      </w:tr>
      <w:tr w:rsidR="007761EF" w:rsidRPr="007761EF" w14:paraId="692D58C8" w14:textId="77777777" w:rsidTr="007761EF">
        <w:trPr>
          <w:trHeight w:val="137"/>
          <w:jc w:val="center"/>
        </w:trPr>
        <w:tc>
          <w:tcPr>
            <w:tcW w:w="1753" w:type="dxa"/>
            <w:vAlign w:val="center"/>
          </w:tcPr>
          <w:p w14:paraId="5F8783B9" w14:textId="77777777" w:rsidR="005650A7" w:rsidRPr="007761EF" w:rsidRDefault="005650A7" w:rsidP="007761EF">
            <w:pPr>
              <w:spacing w:after="0" w:line="240" w:lineRule="auto"/>
              <w:contextualSpacing/>
              <w:jc w:val="center"/>
              <w:rPr>
                <w:color w:val="000000"/>
                <w:lang w:val="en-US" w:eastAsia="ru-RU"/>
              </w:rPr>
            </w:pPr>
            <w:r w:rsidRPr="007761EF">
              <w:rPr>
                <w:color w:val="000000"/>
                <w:lang w:val="en-US" w:eastAsia="ru-RU"/>
              </w:rPr>
              <w:t>Fe</w:t>
            </w:r>
          </w:p>
        </w:tc>
        <w:tc>
          <w:tcPr>
            <w:tcW w:w="1792" w:type="dxa"/>
            <w:shd w:val="clear" w:color="auto" w:fill="auto"/>
            <w:noWrap/>
            <w:vAlign w:val="center"/>
            <w:hideMark/>
          </w:tcPr>
          <w:p w14:paraId="6CD52E17" w14:textId="77777777" w:rsidR="005650A7" w:rsidRPr="007761EF" w:rsidRDefault="005650A7" w:rsidP="007761EF">
            <w:pPr>
              <w:spacing w:after="0" w:line="240" w:lineRule="auto"/>
              <w:contextualSpacing/>
              <w:jc w:val="center"/>
              <w:rPr>
                <w:color w:val="000000"/>
                <w:lang w:eastAsia="ru-RU"/>
              </w:rPr>
            </w:pPr>
            <w:proofErr w:type="spellStart"/>
            <w:r w:rsidRPr="007761EF">
              <w:rPr>
                <w:color w:val="000000"/>
                <w:lang w:eastAsia="ru-RU"/>
              </w:rPr>
              <w:t>Fe</w:t>
            </w:r>
            <w:proofErr w:type="spellEnd"/>
          </w:p>
        </w:tc>
        <w:tc>
          <w:tcPr>
            <w:tcW w:w="2243" w:type="dxa"/>
            <w:vAlign w:val="center"/>
          </w:tcPr>
          <w:p w14:paraId="4956190C" w14:textId="77777777" w:rsidR="005650A7" w:rsidRPr="007761EF" w:rsidRDefault="005650A7" w:rsidP="007761EF">
            <w:pPr>
              <w:spacing w:after="0" w:line="240" w:lineRule="auto"/>
              <w:contextualSpacing/>
              <w:jc w:val="center"/>
              <w:rPr>
                <w:color w:val="000000"/>
                <w:lang w:eastAsia="ru-RU"/>
              </w:rPr>
            </w:pPr>
            <w:r w:rsidRPr="007761EF">
              <w:rPr>
                <w:color w:val="000000"/>
                <w:lang w:eastAsia="ru-RU"/>
              </w:rPr>
              <w:t>0.07</w:t>
            </w:r>
          </w:p>
        </w:tc>
        <w:tc>
          <w:tcPr>
            <w:tcW w:w="2977" w:type="dxa"/>
            <w:vAlign w:val="center"/>
          </w:tcPr>
          <w:p w14:paraId="070BC265" w14:textId="77777777" w:rsidR="005650A7" w:rsidRPr="007761EF" w:rsidRDefault="005650A7" w:rsidP="007761EF">
            <w:pPr>
              <w:spacing w:after="0" w:line="240" w:lineRule="auto"/>
              <w:contextualSpacing/>
              <w:jc w:val="center"/>
              <w:rPr>
                <w:color w:val="000000"/>
                <w:lang w:eastAsia="ru-RU"/>
              </w:rPr>
            </w:pPr>
            <w:r w:rsidRPr="007761EF">
              <w:rPr>
                <w:color w:val="000000"/>
                <w:lang w:eastAsia="ru-RU"/>
              </w:rPr>
              <w:t>0.21</w:t>
            </w:r>
          </w:p>
        </w:tc>
      </w:tr>
    </w:tbl>
    <w:p w14:paraId="0BB3E46D" w14:textId="77777777" w:rsidR="005650A7" w:rsidRDefault="005650A7" w:rsidP="005650A7">
      <w:pPr>
        <w:jc w:val="both"/>
      </w:pPr>
    </w:p>
    <w:p w14:paraId="0F4ECF11" w14:textId="24D3A1E5" w:rsidR="005650A7" w:rsidRDefault="005650A7" w:rsidP="005650A7">
      <w:pPr>
        <w:jc w:val="both"/>
      </w:pPr>
      <w:r>
        <w:t xml:space="preserve">Для проверки калибровки и стабильности параметров анализа выполнялась периодическая съемка стандартных стекол </w:t>
      </w:r>
      <w:r>
        <w:rPr>
          <w:lang w:val="en-US"/>
        </w:rPr>
        <w:t>VG</w:t>
      </w:r>
      <w:r w:rsidRPr="003751E7">
        <w:t xml:space="preserve">-2 </w:t>
      </w:r>
      <w:r w:rsidRPr="00D86ADD">
        <w:t>(</w:t>
      </w:r>
      <w:r>
        <w:rPr>
          <w:lang w:val="en-US"/>
        </w:rPr>
        <w:t>USNM</w:t>
      </w:r>
      <w:r w:rsidRPr="00D86ADD">
        <w:t xml:space="preserve"> 111240/52) </w:t>
      </w:r>
      <w:r>
        <w:t xml:space="preserve">и </w:t>
      </w:r>
      <w:r>
        <w:rPr>
          <w:lang w:val="en-US"/>
        </w:rPr>
        <w:t>VG</w:t>
      </w:r>
      <w:r w:rsidRPr="003751E7">
        <w:t>-568</w:t>
      </w:r>
      <w:r>
        <w:t xml:space="preserve"> (</w:t>
      </w:r>
      <w:r>
        <w:rPr>
          <w:lang w:val="en-US"/>
        </w:rPr>
        <w:t>USNM</w:t>
      </w:r>
      <w:r w:rsidRPr="00D86ADD">
        <w:t xml:space="preserve"> 72854) </w:t>
      </w:r>
      <w:r>
        <w:t xml:space="preserve">из набора </w:t>
      </w:r>
      <w:proofErr w:type="spellStart"/>
      <w:r>
        <w:t>Смитсоновского</w:t>
      </w:r>
      <w:proofErr w:type="spellEnd"/>
      <w:r>
        <w:t xml:space="preserve"> музея естественной истории (США) </w:t>
      </w:r>
      <w:r w:rsidRPr="00484459">
        <w:t>[</w:t>
      </w:r>
      <w:proofErr w:type="spellStart"/>
      <w:r w:rsidRPr="00484459">
        <w:t>Jarosewich</w:t>
      </w:r>
      <w:proofErr w:type="spellEnd"/>
      <w:r w:rsidRPr="00484459">
        <w:t xml:space="preserve"> </w:t>
      </w:r>
      <w:proofErr w:type="spellStart"/>
      <w:r w:rsidRPr="00484459">
        <w:t>et</w:t>
      </w:r>
      <w:proofErr w:type="spellEnd"/>
      <w:r w:rsidRPr="00484459">
        <w:t xml:space="preserve"> </w:t>
      </w:r>
      <w:proofErr w:type="spellStart"/>
      <w:r w:rsidRPr="00484459">
        <w:t>al</w:t>
      </w:r>
      <w:proofErr w:type="spellEnd"/>
      <w:r w:rsidRPr="00484459">
        <w:t>., 1980]</w:t>
      </w:r>
      <w:r>
        <w:t>. Результаты измерения стандартов предста</w:t>
      </w:r>
      <w:r w:rsidR="005C1071">
        <w:t>влены в электронном приложении 3</w:t>
      </w:r>
      <w:r>
        <w:t>.</w:t>
      </w:r>
    </w:p>
    <w:p w14:paraId="5D6A6BC2" w14:textId="7763F4C7" w:rsidR="005650A7" w:rsidRPr="00353FC0" w:rsidRDefault="005650A7" w:rsidP="005650A7">
      <w:pPr>
        <w:jc w:val="both"/>
      </w:pPr>
      <w:r>
        <w:t xml:space="preserve">В </w:t>
      </w:r>
      <w:r w:rsidR="002F6B86">
        <w:t>прил. 3</w:t>
      </w:r>
      <w:r w:rsidRPr="00B156F4">
        <w:t xml:space="preserve"> видно, что отклонения от заявленных значений для стандарта </w:t>
      </w:r>
      <w:r w:rsidRPr="00B156F4">
        <w:rPr>
          <w:lang w:val="en-US"/>
        </w:rPr>
        <w:t>VG</w:t>
      </w:r>
      <w:r w:rsidRPr="00B156F4">
        <w:t xml:space="preserve">-2 составили от 0 до 11 </w:t>
      </w:r>
      <w:proofErr w:type="spellStart"/>
      <w:r w:rsidRPr="00B156F4">
        <w:t>отн</w:t>
      </w:r>
      <w:proofErr w:type="spellEnd"/>
      <w:r w:rsidRPr="00B156F4">
        <w:t xml:space="preserve">. % для концентраций, чьи величины оказались выше пределов обнаружения. При этом максимальные отклонения, превышающие 5 </w:t>
      </w:r>
      <w:proofErr w:type="spellStart"/>
      <w:r w:rsidRPr="00B156F4">
        <w:t>отн</w:t>
      </w:r>
      <w:proofErr w:type="spellEnd"/>
      <w:r w:rsidRPr="00B156F4">
        <w:t xml:space="preserve">. %, были установлены для </w:t>
      </w:r>
      <w:r w:rsidRPr="00B156F4">
        <w:rPr>
          <w:lang w:val="en-US"/>
        </w:rPr>
        <w:t>P</w:t>
      </w:r>
      <w:r w:rsidRPr="00B156F4">
        <w:rPr>
          <w:vertAlign w:val="subscript"/>
        </w:rPr>
        <w:t>2</w:t>
      </w:r>
      <w:r w:rsidRPr="00B156F4">
        <w:rPr>
          <w:lang w:val="en-US"/>
        </w:rPr>
        <w:t>O</w:t>
      </w:r>
      <w:r w:rsidRPr="00B156F4">
        <w:rPr>
          <w:vertAlign w:val="subscript"/>
        </w:rPr>
        <w:t>5</w:t>
      </w:r>
      <w:r w:rsidRPr="00B156F4">
        <w:t xml:space="preserve">. Высокие отклонения для </w:t>
      </w:r>
      <w:r w:rsidRPr="00B156F4">
        <w:rPr>
          <w:lang w:val="en-US"/>
        </w:rPr>
        <w:t>Cl</w:t>
      </w:r>
      <w:r w:rsidRPr="00B156F4">
        <w:t>, связаны с тем, что его концентрация находилась на пределе обнаружения (0,06 3</w:t>
      </w:r>
      <w:r w:rsidRPr="00B156F4">
        <w:rPr>
          <w:rFonts w:ascii="Symbol" w:hAnsi="Symbol"/>
          <w:lang w:val="en-US"/>
        </w:rPr>
        <w:t></w:t>
      </w:r>
      <w:r w:rsidRPr="00B156F4">
        <w:t xml:space="preserve">). Для остальных элементов отклонения не превышали 5 </w:t>
      </w:r>
      <w:proofErr w:type="spellStart"/>
      <w:r w:rsidRPr="00B156F4">
        <w:t>отн</w:t>
      </w:r>
      <w:proofErr w:type="spellEnd"/>
      <w:r w:rsidRPr="00B156F4">
        <w:t xml:space="preserve">. %. Исключение составил </w:t>
      </w:r>
      <w:r w:rsidRPr="00B156F4">
        <w:rPr>
          <w:lang w:val="en-US"/>
        </w:rPr>
        <w:t>K</w:t>
      </w:r>
      <w:r w:rsidRPr="00B156F4">
        <w:rPr>
          <w:vertAlign w:val="subscript"/>
        </w:rPr>
        <w:t>2</w:t>
      </w:r>
      <w:r w:rsidRPr="00B156F4">
        <w:rPr>
          <w:lang w:val="en-US"/>
        </w:rPr>
        <w:t>O</w:t>
      </w:r>
      <w:r w:rsidRPr="00B156F4">
        <w:t xml:space="preserve">, для которого в одной из смен отклонение составило 8,6 </w:t>
      </w:r>
      <w:proofErr w:type="spellStart"/>
      <w:r w:rsidRPr="00B156F4">
        <w:t>отн</w:t>
      </w:r>
      <w:proofErr w:type="spellEnd"/>
      <w:r w:rsidRPr="00B156F4">
        <w:t>. %. Во всех случаях проверки этого стандарта концентрации</w:t>
      </w:r>
      <w:r>
        <w:t xml:space="preserve"> элементов укладывались в диапазон разброса значений, полученных в различных лабораториях, по данным </w:t>
      </w:r>
      <w:proofErr w:type="spellStart"/>
      <w:r>
        <w:rPr>
          <w:lang w:val="en-US"/>
        </w:rPr>
        <w:t>GeoRem</w:t>
      </w:r>
      <w:proofErr w:type="spellEnd"/>
      <w:r>
        <w:t xml:space="preserve"> </w:t>
      </w:r>
      <w:r w:rsidRPr="00353FC0">
        <w:t>[</w:t>
      </w:r>
      <w:r w:rsidRPr="00567E02">
        <w:t>http://georem.mpch-mainz.gwdg.de/sample_query.asp</w:t>
      </w:r>
      <w:r w:rsidRPr="00353FC0">
        <w:t>]</w:t>
      </w:r>
      <w:r>
        <w:t xml:space="preserve">. </w:t>
      </w:r>
    </w:p>
    <w:p w14:paraId="56B4CE3D" w14:textId="77777777" w:rsidR="005650A7" w:rsidRDefault="005650A7" w:rsidP="005650A7">
      <w:pPr>
        <w:jc w:val="both"/>
      </w:pPr>
      <w:r>
        <w:t xml:space="preserve">Для стандарта </w:t>
      </w:r>
      <w:r>
        <w:rPr>
          <w:lang w:val="en-US"/>
        </w:rPr>
        <w:t>VG</w:t>
      </w:r>
      <w:r w:rsidRPr="00F67394">
        <w:t xml:space="preserve">-568 </w:t>
      </w:r>
      <w:r>
        <w:t xml:space="preserve">отклонения менее 5 </w:t>
      </w:r>
      <w:proofErr w:type="spellStart"/>
      <w:r>
        <w:t>отн</w:t>
      </w:r>
      <w:proofErr w:type="spellEnd"/>
      <w:r>
        <w:t xml:space="preserve">.% от заявленных значений были отмечены для </w:t>
      </w:r>
      <w:proofErr w:type="spellStart"/>
      <w:r>
        <w:rPr>
          <w:lang w:val="en-US"/>
        </w:rPr>
        <w:t>SiO</w:t>
      </w:r>
      <w:proofErr w:type="spellEnd"/>
      <w:r w:rsidRPr="00760636">
        <w:rPr>
          <w:vertAlign w:val="subscript"/>
        </w:rPr>
        <w:t>2</w:t>
      </w:r>
      <w:r w:rsidRPr="00F67394">
        <w:t xml:space="preserve">, </w:t>
      </w:r>
      <w:r>
        <w:rPr>
          <w:lang w:val="en-US"/>
        </w:rPr>
        <w:t>Al</w:t>
      </w:r>
      <w:r w:rsidRPr="00760636">
        <w:rPr>
          <w:vertAlign w:val="subscript"/>
        </w:rPr>
        <w:t>2</w:t>
      </w:r>
      <w:r>
        <w:rPr>
          <w:lang w:val="en-US"/>
        </w:rPr>
        <w:t>O</w:t>
      </w:r>
      <w:r w:rsidRPr="00760636">
        <w:rPr>
          <w:vertAlign w:val="subscript"/>
        </w:rPr>
        <w:t>3</w:t>
      </w:r>
      <w:r>
        <w:t xml:space="preserve">, </w:t>
      </w:r>
      <w:r>
        <w:rPr>
          <w:lang w:val="en-US"/>
        </w:rPr>
        <w:t>K</w:t>
      </w:r>
      <w:r w:rsidRPr="00760636">
        <w:rPr>
          <w:vertAlign w:val="subscript"/>
        </w:rPr>
        <w:t>2</w:t>
      </w:r>
      <w:r>
        <w:rPr>
          <w:lang w:val="en-US"/>
        </w:rPr>
        <w:t>O</w:t>
      </w:r>
      <w:r>
        <w:t xml:space="preserve"> и </w:t>
      </w:r>
      <w:r>
        <w:rPr>
          <w:lang w:val="en-US"/>
        </w:rPr>
        <w:t>Na</w:t>
      </w:r>
      <w:r w:rsidRPr="00760636">
        <w:rPr>
          <w:vertAlign w:val="subscript"/>
        </w:rPr>
        <w:t>2</w:t>
      </w:r>
      <w:r>
        <w:rPr>
          <w:lang w:val="en-US"/>
        </w:rPr>
        <w:t>O</w:t>
      </w:r>
      <w:r>
        <w:t xml:space="preserve">. Но в одной из смен отклонение для </w:t>
      </w:r>
      <w:r>
        <w:rPr>
          <w:lang w:val="en-US"/>
        </w:rPr>
        <w:t>Na</w:t>
      </w:r>
      <w:r w:rsidRPr="00760636">
        <w:rPr>
          <w:vertAlign w:val="subscript"/>
        </w:rPr>
        <w:t>2</w:t>
      </w:r>
      <w:r>
        <w:rPr>
          <w:lang w:val="en-US"/>
        </w:rPr>
        <w:t>O</w:t>
      </w:r>
      <w:r w:rsidRPr="00353FC0">
        <w:t xml:space="preserve"> </w:t>
      </w:r>
      <w:r>
        <w:t xml:space="preserve">составило 7,8 </w:t>
      </w:r>
      <w:proofErr w:type="spellStart"/>
      <w:r>
        <w:t>отн</w:t>
      </w:r>
      <w:proofErr w:type="spellEnd"/>
      <w:r>
        <w:t xml:space="preserve">.%. Для </w:t>
      </w:r>
      <w:proofErr w:type="spellStart"/>
      <w:r>
        <w:rPr>
          <w:lang w:val="en-US"/>
        </w:rPr>
        <w:t>FeO</w:t>
      </w:r>
      <w:proofErr w:type="spellEnd"/>
      <w:r>
        <w:t xml:space="preserve"> и</w:t>
      </w:r>
      <w:r w:rsidRPr="00353FC0">
        <w:t xml:space="preserve"> </w:t>
      </w:r>
      <w:proofErr w:type="spellStart"/>
      <w:r>
        <w:rPr>
          <w:lang w:val="en-US"/>
        </w:rPr>
        <w:t>CaO</w:t>
      </w:r>
      <w:proofErr w:type="spellEnd"/>
      <w:r w:rsidRPr="00353FC0">
        <w:t xml:space="preserve"> </w:t>
      </w:r>
      <w:r>
        <w:t xml:space="preserve">отклонения составили от 5,1 до 7 </w:t>
      </w:r>
      <w:proofErr w:type="spellStart"/>
      <w:r>
        <w:t>отн</w:t>
      </w:r>
      <w:proofErr w:type="spellEnd"/>
      <w:r>
        <w:t xml:space="preserve">.%. Наиболее сильные отклонения были отмечены для </w:t>
      </w:r>
      <w:proofErr w:type="spellStart"/>
      <w:r>
        <w:rPr>
          <w:lang w:val="en-US"/>
        </w:rPr>
        <w:t>TiO</w:t>
      </w:r>
      <w:proofErr w:type="spellEnd"/>
      <w:r w:rsidRPr="00760636">
        <w:rPr>
          <w:vertAlign w:val="subscript"/>
        </w:rPr>
        <w:t>2</w:t>
      </w:r>
      <w:r w:rsidRPr="00353FC0">
        <w:t xml:space="preserve"> </w:t>
      </w:r>
      <w:r>
        <w:t xml:space="preserve">и </w:t>
      </w:r>
      <w:r>
        <w:rPr>
          <w:lang w:val="en-US"/>
        </w:rPr>
        <w:t>Cl</w:t>
      </w:r>
      <w:r>
        <w:t xml:space="preserve">. Содержания </w:t>
      </w:r>
      <w:proofErr w:type="spellStart"/>
      <w:r>
        <w:rPr>
          <w:lang w:val="en-US"/>
        </w:rPr>
        <w:t>TiO</w:t>
      </w:r>
      <w:proofErr w:type="spellEnd"/>
      <w:r w:rsidRPr="008D6768">
        <w:rPr>
          <w:vertAlign w:val="subscript"/>
        </w:rPr>
        <w:t>2</w:t>
      </w:r>
      <w:r w:rsidRPr="00353FC0">
        <w:t xml:space="preserve"> </w:t>
      </w:r>
      <w:r>
        <w:t xml:space="preserve">хорошо воспроизводятся от смены к смене. Опираясь на то, что для стандарта </w:t>
      </w:r>
      <w:r>
        <w:rPr>
          <w:lang w:val="en-US"/>
        </w:rPr>
        <w:t>VG</w:t>
      </w:r>
      <w:r w:rsidRPr="00353FC0">
        <w:t xml:space="preserve">-2 </w:t>
      </w:r>
      <w:r>
        <w:t xml:space="preserve">отклонение от заявленной концентрации титана были ничтожны, мы полагаем, что его концентрации в имеющемся у нас образце действительно не соответствуют заявленному производителем. Это согласуется с большим разбросом значений содержаний </w:t>
      </w:r>
      <w:proofErr w:type="spellStart"/>
      <w:r>
        <w:rPr>
          <w:lang w:val="en-US"/>
        </w:rPr>
        <w:t>TiO</w:t>
      </w:r>
      <w:proofErr w:type="spellEnd"/>
      <w:r w:rsidRPr="008D6768">
        <w:rPr>
          <w:vertAlign w:val="subscript"/>
        </w:rPr>
        <w:t>2</w:t>
      </w:r>
      <w:r>
        <w:t xml:space="preserve">, измеренных в различных лабораториях и представленных в базе </w:t>
      </w:r>
      <w:proofErr w:type="spellStart"/>
      <w:r>
        <w:rPr>
          <w:lang w:val="en-US"/>
        </w:rPr>
        <w:t>GeoRem</w:t>
      </w:r>
      <w:proofErr w:type="spellEnd"/>
      <w:r>
        <w:t xml:space="preserve"> </w:t>
      </w:r>
      <w:r w:rsidRPr="00567E02">
        <w:t>[</w:t>
      </w:r>
      <w:r w:rsidRPr="00567E02">
        <w:rPr>
          <w:lang w:val="en-US"/>
        </w:rPr>
        <w:t>http</w:t>
      </w:r>
      <w:r w:rsidRPr="00567E02">
        <w:t>://</w:t>
      </w:r>
      <w:proofErr w:type="spellStart"/>
      <w:r w:rsidRPr="00567E02">
        <w:rPr>
          <w:lang w:val="en-US"/>
        </w:rPr>
        <w:t>georem</w:t>
      </w:r>
      <w:proofErr w:type="spellEnd"/>
      <w:r w:rsidRPr="00567E02">
        <w:t>.</w:t>
      </w:r>
      <w:proofErr w:type="spellStart"/>
      <w:r w:rsidRPr="00567E02">
        <w:rPr>
          <w:lang w:val="en-US"/>
        </w:rPr>
        <w:t>mpch</w:t>
      </w:r>
      <w:proofErr w:type="spellEnd"/>
      <w:r w:rsidRPr="00567E02">
        <w:t>-</w:t>
      </w:r>
      <w:proofErr w:type="spellStart"/>
      <w:r w:rsidRPr="00567E02">
        <w:rPr>
          <w:lang w:val="en-US"/>
        </w:rPr>
        <w:t>mainz</w:t>
      </w:r>
      <w:proofErr w:type="spellEnd"/>
      <w:r w:rsidRPr="00567E02">
        <w:t>.</w:t>
      </w:r>
      <w:proofErr w:type="spellStart"/>
      <w:r w:rsidRPr="00567E02">
        <w:rPr>
          <w:lang w:val="en-US"/>
        </w:rPr>
        <w:t>gwdg</w:t>
      </w:r>
      <w:proofErr w:type="spellEnd"/>
      <w:r w:rsidRPr="00567E02">
        <w:t>.</w:t>
      </w:r>
      <w:r w:rsidRPr="00567E02">
        <w:rPr>
          <w:lang w:val="en-US"/>
        </w:rPr>
        <w:t>de</w:t>
      </w:r>
      <w:r w:rsidRPr="00567E02">
        <w:t>/</w:t>
      </w:r>
      <w:r w:rsidRPr="00567E02">
        <w:rPr>
          <w:lang w:val="en-US"/>
        </w:rPr>
        <w:t>sample</w:t>
      </w:r>
      <w:r w:rsidRPr="00567E02">
        <w:t>_</w:t>
      </w:r>
      <w:r w:rsidRPr="00567E02">
        <w:rPr>
          <w:lang w:val="en-US"/>
        </w:rPr>
        <w:t>query</w:t>
      </w:r>
      <w:r w:rsidRPr="00567E02">
        <w:t>.</w:t>
      </w:r>
      <w:r w:rsidRPr="00567E02">
        <w:rPr>
          <w:lang w:val="en-US"/>
        </w:rPr>
        <w:t>asp</w:t>
      </w:r>
      <w:r w:rsidRPr="00567E02">
        <w:t>]</w:t>
      </w:r>
      <w:r>
        <w:t>. Полученное нами значение хорошо укладывается в диапазон разброса этих величин.</w:t>
      </w:r>
      <w:r w:rsidRPr="00760636">
        <w:t xml:space="preserve"> </w:t>
      </w:r>
      <w:r>
        <w:t xml:space="preserve">Таким образом, проведенная нами калибровка спектрометра в пределах 5 – 7 </w:t>
      </w:r>
      <w:proofErr w:type="spellStart"/>
      <w:r>
        <w:t>отн</w:t>
      </w:r>
      <w:proofErr w:type="spellEnd"/>
      <w:r>
        <w:t>. % воспроизводит концентрации большинства интересующих нас элементов в международных стандартах.</w:t>
      </w:r>
    </w:p>
    <w:p w14:paraId="2BA39534" w14:textId="770C1E34" w:rsidR="00D03829" w:rsidRDefault="005650A7" w:rsidP="005650A7">
      <w:pPr>
        <w:jc w:val="both"/>
      </w:pPr>
      <w:r>
        <w:t xml:space="preserve">В процессе анализа сила тока зонда периодически контролировалась по интенсивности линий </w:t>
      </w:r>
      <w:r w:rsidRPr="00385F29">
        <w:rPr>
          <w:i/>
          <w:lang w:val="en-US"/>
        </w:rPr>
        <w:t>K</w:t>
      </w:r>
      <w:r>
        <w:t xml:space="preserve">-серии </w:t>
      </w:r>
      <w:r>
        <w:rPr>
          <w:lang w:val="en-US"/>
        </w:rPr>
        <w:t>Co</w:t>
      </w:r>
      <w:r>
        <w:t xml:space="preserve">. Максимальные вариации силы тока в процессе анализа не превышали 0,5 </w:t>
      </w:r>
      <w:proofErr w:type="spellStart"/>
      <w:r>
        <w:t>отн</w:t>
      </w:r>
      <w:proofErr w:type="spellEnd"/>
      <w:r>
        <w:t>. %.</w:t>
      </w:r>
    </w:p>
    <w:p w14:paraId="26EFB418" w14:textId="77777777" w:rsidR="005650A7" w:rsidRDefault="005650A7" w:rsidP="005650A7">
      <w:pPr>
        <w:jc w:val="both"/>
      </w:pPr>
    </w:p>
    <w:p w14:paraId="3D9FC6DB" w14:textId="3B1D65FD" w:rsidR="00D03829" w:rsidRPr="007A6772" w:rsidRDefault="008103D8">
      <w:pPr>
        <w:numPr>
          <w:ilvl w:val="0"/>
          <w:numId w:val="1"/>
        </w:numPr>
        <w:jc w:val="both"/>
        <w:rPr>
          <w:i/>
        </w:rPr>
      </w:pPr>
      <w:bookmarkStart w:id="2" w:name="_heading=h.p8jmui39paqc" w:colFirst="0" w:colLast="0"/>
      <w:bookmarkEnd w:id="2"/>
      <w:r>
        <w:rPr>
          <w:i/>
        </w:rPr>
        <w:t xml:space="preserve">Методика проведения измерений валовых состав проб </w:t>
      </w:r>
      <w:r w:rsidRPr="007A6772">
        <w:rPr>
          <w:i/>
        </w:rPr>
        <w:t xml:space="preserve">методом </w:t>
      </w:r>
      <w:proofErr w:type="spellStart"/>
      <w:r w:rsidR="00E20D4D" w:rsidRPr="007A6772">
        <w:rPr>
          <w:i/>
        </w:rPr>
        <w:t>рентгенофлюоресцентного</w:t>
      </w:r>
      <w:proofErr w:type="spellEnd"/>
      <w:r w:rsidR="00E20D4D" w:rsidRPr="007A6772">
        <w:rPr>
          <w:i/>
        </w:rPr>
        <w:t xml:space="preserve"> анализа и </w:t>
      </w:r>
      <w:r w:rsidRPr="007A6772">
        <w:rPr>
          <w:i/>
        </w:rPr>
        <w:t>масс-спектрометрии с индуктивно-связанной плазмой</w:t>
      </w:r>
    </w:p>
    <w:p w14:paraId="56862418" w14:textId="33BC52E9" w:rsidR="00E20D4D" w:rsidRPr="007A6772" w:rsidRDefault="00E20D4D">
      <w:pPr>
        <w:spacing w:after="0"/>
        <w:ind w:firstLine="700"/>
        <w:jc w:val="both"/>
      </w:pPr>
      <w:bookmarkStart w:id="3" w:name="_heading=h.llmym1qiyqi" w:colFirst="0" w:colLast="0"/>
      <w:bookmarkEnd w:id="3"/>
      <w:r w:rsidRPr="007A6772">
        <w:t xml:space="preserve">Содержание главных </w:t>
      </w:r>
      <w:proofErr w:type="spellStart"/>
      <w:r w:rsidRPr="007A6772">
        <w:t>петрогенных</w:t>
      </w:r>
      <w:proofErr w:type="spellEnd"/>
      <w:r w:rsidRPr="007A6772">
        <w:t xml:space="preserve"> элементов в породах определялось методом </w:t>
      </w:r>
      <w:proofErr w:type="spellStart"/>
      <w:r w:rsidRPr="007A6772">
        <w:t>рентгенофлуоресцентного</w:t>
      </w:r>
      <w:proofErr w:type="spellEnd"/>
      <w:r w:rsidRPr="007A6772">
        <w:t xml:space="preserve"> анализа (РФА). Анализ проводился на </w:t>
      </w:r>
      <w:proofErr w:type="spellStart"/>
      <w:r w:rsidRPr="007A6772">
        <w:t>рентгенофлуоресцентном</w:t>
      </w:r>
      <w:proofErr w:type="spellEnd"/>
      <w:r w:rsidRPr="007A6772">
        <w:t xml:space="preserve"> </w:t>
      </w:r>
      <w:r w:rsidRPr="007A6772">
        <w:lastRenderedPageBreak/>
        <w:t>спектрометре ARL 9900 X</w:t>
      </w:r>
      <w:r w:rsidRPr="007A6772">
        <w:rPr>
          <w:lang w:val="en-US"/>
        </w:rPr>
        <w:t>L</w:t>
      </w:r>
      <w:r w:rsidRPr="007A6772">
        <w:t xml:space="preserve"> (ЦКП МИИ ИГМ СО РАН, Новосибирск). Потери при прокаливании измерялись после выдержки при 950°С в течение 2 часов.</w:t>
      </w:r>
    </w:p>
    <w:p w14:paraId="359C86AB" w14:textId="48D60B8E" w:rsidR="00D03829" w:rsidRDefault="008103D8">
      <w:pPr>
        <w:spacing w:after="0"/>
        <w:ind w:firstLine="700"/>
        <w:jc w:val="both"/>
      </w:pPr>
      <w:r>
        <w:t xml:space="preserve">Определение концентрации редких элементов проводилось методом масс-спектрометрии с индуктивно-связанной плазмой (ИСП) на приборе NEXION 2000C (США) в Центре коллективного пользования </w:t>
      </w:r>
      <w:r>
        <w:rPr>
          <w:highlight w:val="white"/>
        </w:rPr>
        <w:t xml:space="preserve">Института геологии рудных месторождений, петрографии, минералогии и геохимии </w:t>
      </w:r>
      <w:r>
        <w:t xml:space="preserve">(ИГЕМ) РАН. Качество измерений и </w:t>
      </w:r>
      <w:proofErr w:type="spellStart"/>
      <w:r>
        <w:t>пробоподготовки</w:t>
      </w:r>
      <w:proofErr w:type="spellEnd"/>
      <w:r>
        <w:t xml:space="preserve"> контролировалось эталонными стандартами горных пород геологической службы США (USGS). Полученные значения соответствуют методике измерений НСАМ № 501-МС (2011). </w:t>
      </w:r>
      <w:proofErr w:type="spellStart"/>
      <w:r>
        <w:t>Пробоподготовка</w:t>
      </w:r>
      <w:proofErr w:type="spellEnd"/>
      <w:r>
        <w:t xml:space="preserve"> основных и средних пород проводилась методом кислотного разложения по методике [Бычкова и др., 2016], разложение кислых пород методом автоклавного разложения по рекомендации, описанной в работе [</w:t>
      </w:r>
      <w:proofErr w:type="spellStart"/>
      <w:r>
        <w:t>Okina</w:t>
      </w:r>
      <w:proofErr w:type="spellEnd"/>
      <w:r>
        <w:t xml:space="preserve"> </w:t>
      </w:r>
      <w:proofErr w:type="spellStart"/>
      <w:r>
        <w:t>et</w:t>
      </w:r>
      <w:proofErr w:type="spellEnd"/>
      <w:r>
        <w:t xml:space="preserve"> </w:t>
      </w:r>
      <w:proofErr w:type="spellStart"/>
      <w:r>
        <w:t>al</w:t>
      </w:r>
      <w:proofErr w:type="spellEnd"/>
      <w:r>
        <w:t>., 2016].</w:t>
      </w:r>
    </w:p>
    <w:p w14:paraId="50E7100F" w14:textId="77777777" w:rsidR="00D03829" w:rsidRDefault="00D03829">
      <w:pPr>
        <w:spacing w:after="0"/>
        <w:ind w:firstLine="700"/>
        <w:contextualSpacing/>
        <w:jc w:val="both"/>
        <w:rPr>
          <w:highlight w:val="green"/>
        </w:rPr>
      </w:pPr>
      <w:bookmarkStart w:id="4" w:name="_heading=h.3997ndwt1q7c" w:colFirst="0" w:colLast="0"/>
      <w:bookmarkEnd w:id="4"/>
    </w:p>
    <w:p w14:paraId="4B5FE34B" w14:textId="77777777" w:rsidR="00D03829" w:rsidRDefault="008103D8">
      <w:pPr>
        <w:numPr>
          <w:ilvl w:val="0"/>
          <w:numId w:val="1"/>
        </w:numPr>
        <w:spacing w:after="0"/>
        <w:contextualSpacing/>
        <w:jc w:val="both"/>
        <w:rPr>
          <w:i/>
        </w:rPr>
      </w:pPr>
      <w:bookmarkStart w:id="5" w:name="_heading=h.ju9f4f9perpq" w:colFirst="0" w:colLast="0"/>
      <w:bookmarkEnd w:id="5"/>
      <w:r>
        <w:rPr>
          <w:i/>
        </w:rPr>
        <w:t>Радиоуглеродное датирование</w:t>
      </w:r>
    </w:p>
    <w:p w14:paraId="46506A2E" w14:textId="3D66A22E" w:rsidR="003541FA" w:rsidRPr="00F916B6" w:rsidRDefault="007C791D" w:rsidP="007C791D">
      <w:pPr>
        <w:spacing w:after="200"/>
        <w:contextualSpacing/>
        <w:jc w:val="both"/>
      </w:pPr>
      <w:bookmarkStart w:id="6" w:name="_heading=h.o4jj24exgb5r" w:colFirst="0" w:colLast="0"/>
      <w:bookmarkEnd w:id="6"/>
      <w:r w:rsidRPr="00F916B6">
        <w:t>Радиоуглеродное датирование образцов почвы, погребенно</w:t>
      </w:r>
      <w:r w:rsidR="00A4177F" w:rsidRPr="00F916B6">
        <w:t>й горизонтом</w:t>
      </w:r>
      <w:r w:rsidRPr="00F916B6">
        <w:t xml:space="preserve"> </w:t>
      </w:r>
      <w:proofErr w:type="spellStart"/>
      <w:r w:rsidRPr="00F916B6">
        <w:t>тефр</w:t>
      </w:r>
      <w:r w:rsidR="00A4177F" w:rsidRPr="00F916B6">
        <w:t>ы</w:t>
      </w:r>
      <w:proofErr w:type="spellEnd"/>
      <w:r w:rsidRPr="00F916B6">
        <w:t xml:space="preserve">, и обугленного стебля </w:t>
      </w:r>
      <w:proofErr w:type="spellStart"/>
      <w:r w:rsidRPr="00F916B6">
        <w:t>бамбучника</w:t>
      </w:r>
      <w:proofErr w:type="spellEnd"/>
      <w:r w:rsidRPr="00F916B6">
        <w:t xml:space="preserve"> (</w:t>
      </w:r>
      <w:proofErr w:type="spellStart"/>
      <w:r w:rsidRPr="00F916B6">
        <w:rPr>
          <w:i/>
        </w:rPr>
        <w:t>Sasa</w:t>
      </w:r>
      <w:proofErr w:type="spellEnd"/>
      <w:r w:rsidRPr="00F916B6">
        <w:rPr>
          <w:i/>
        </w:rPr>
        <w:t xml:space="preserve"> </w:t>
      </w:r>
      <w:proofErr w:type="spellStart"/>
      <w:r w:rsidRPr="00F916B6">
        <w:rPr>
          <w:i/>
        </w:rPr>
        <w:t>kurilensis</w:t>
      </w:r>
      <w:proofErr w:type="spellEnd"/>
      <w:r w:rsidRPr="00F916B6">
        <w:rPr>
          <w:i/>
        </w:rPr>
        <w:t>)</w:t>
      </w:r>
      <w:r w:rsidRPr="00F916B6">
        <w:t xml:space="preserve"> в </w:t>
      </w:r>
      <w:r w:rsidR="00A4177F" w:rsidRPr="00F916B6">
        <w:t>его подошве</w:t>
      </w:r>
      <w:r w:rsidRPr="00F916B6">
        <w:t xml:space="preserve"> выполнено с использованием жидкостного сцинтилляционного метода счета</w:t>
      </w:r>
      <w:r w:rsidR="006335E1" w:rsidRPr="00F916B6">
        <w:t xml:space="preserve"> изотопа</w:t>
      </w:r>
      <w:r w:rsidRPr="00F916B6">
        <w:t xml:space="preserve"> </w:t>
      </w:r>
      <w:r w:rsidRPr="00F916B6">
        <w:rPr>
          <w:vertAlign w:val="superscript"/>
        </w:rPr>
        <w:t>14</w:t>
      </w:r>
      <w:r w:rsidRPr="00F916B6">
        <w:t>С в бензоле, синтезируемом из органогенных образцов [Арсланов, 1987]</w:t>
      </w:r>
      <w:r w:rsidR="00FD7F55" w:rsidRPr="00F916B6">
        <w:t>, в Институте наук о Земле Санкт-Петербургского государственного университета.</w:t>
      </w:r>
    </w:p>
    <w:p w14:paraId="1CF0E7B4" w14:textId="6E0FC221" w:rsidR="00FD7F55" w:rsidRPr="00F916B6" w:rsidRDefault="007C791D" w:rsidP="007C791D">
      <w:pPr>
        <w:spacing w:after="200"/>
        <w:contextualSpacing/>
        <w:jc w:val="both"/>
      </w:pPr>
      <w:r w:rsidRPr="00F916B6">
        <w:t xml:space="preserve">Для заверки </w:t>
      </w:r>
      <w:r w:rsidR="00B80DBA" w:rsidRPr="00F916B6">
        <w:t xml:space="preserve">времени </w:t>
      </w:r>
      <w:r w:rsidR="003F7C36" w:rsidRPr="00F916B6">
        <w:t>гибели</w:t>
      </w:r>
      <w:r w:rsidRPr="00F916B6">
        <w:t xml:space="preserve"> </w:t>
      </w:r>
      <w:proofErr w:type="spellStart"/>
      <w:r w:rsidRPr="00F916B6">
        <w:t>бамбучника</w:t>
      </w:r>
      <w:proofErr w:type="spellEnd"/>
      <w:r w:rsidRPr="00F916B6">
        <w:t xml:space="preserve"> и уточнения даты рассматриваемого извержения  была применена AMS технология радиоуглеродного датирования. </w:t>
      </w:r>
      <w:proofErr w:type="spellStart"/>
      <w:r w:rsidRPr="00F916B6">
        <w:t>Пробоподготовка</w:t>
      </w:r>
      <w:proofErr w:type="spellEnd"/>
      <w:r w:rsidRPr="00F916B6">
        <w:t xml:space="preserve">, выделение анализируемой фракции, </w:t>
      </w:r>
      <w:proofErr w:type="spellStart"/>
      <w:r w:rsidRPr="00F916B6">
        <w:t>графитизация</w:t>
      </w:r>
      <w:proofErr w:type="spellEnd"/>
      <w:r w:rsidRPr="00F916B6">
        <w:t xml:space="preserve"> и прессование мишени проведены в Лаборатории радиоуглеродного датирования и электронной микроскопии Института географии РАН, Москва. </w:t>
      </w:r>
      <w:proofErr w:type="spellStart"/>
      <w:r w:rsidRPr="00F916B6">
        <w:t>Графитизацию</w:t>
      </w:r>
      <w:proofErr w:type="spellEnd"/>
      <w:r w:rsidRPr="00F916B6">
        <w:t xml:space="preserve"> проводили с использованием системы </w:t>
      </w:r>
      <w:proofErr w:type="spellStart"/>
      <w:r w:rsidRPr="00F916B6">
        <w:t>графитизации</w:t>
      </w:r>
      <w:proofErr w:type="spellEnd"/>
      <w:r w:rsidRPr="00F916B6">
        <w:t xml:space="preserve"> AGE-3 с элементным анализатором </w:t>
      </w:r>
      <w:proofErr w:type="spellStart"/>
      <w:r w:rsidRPr="00F916B6">
        <w:t>Vario</w:t>
      </w:r>
      <w:proofErr w:type="spellEnd"/>
      <w:r w:rsidRPr="00F916B6">
        <w:t xml:space="preserve"> </w:t>
      </w:r>
      <w:proofErr w:type="spellStart"/>
      <w:r w:rsidRPr="00F916B6">
        <w:t>Micro</w:t>
      </w:r>
      <w:proofErr w:type="spellEnd"/>
      <w:r w:rsidRPr="00F916B6">
        <w:t xml:space="preserve"> </w:t>
      </w:r>
      <w:proofErr w:type="spellStart"/>
      <w:r w:rsidRPr="00F916B6">
        <w:t>Cube</w:t>
      </w:r>
      <w:proofErr w:type="spellEnd"/>
      <w:r w:rsidRPr="00F916B6">
        <w:t xml:space="preserve">, соединенным с </w:t>
      </w:r>
      <w:proofErr w:type="spellStart"/>
      <w:r w:rsidRPr="00F916B6">
        <w:t>Isoprime</w:t>
      </w:r>
      <w:proofErr w:type="spellEnd"/>
      <w:r w:rsidRPr="00F916B6">
        <w:t xml:space="preserve"> </w:t>
      </w:r>
      <w:proofErr w:type="spellStart"/>
      <w:r w:rsidRPr="00F916B6">
        <w:t>PrecisION</w:t>
      </w:r>
      <w:proofErr w:type="spellEnd"/>
      <w:r w:rsidRPr="00F916B6">
        <w:t xml:space="preserve"> IRMS (</w:t>
      </w:r>
      <w:proofErr w:type="spellStart"/>
      <w:r w:rsidRPr="00F916B6">
        <w:t>Elementar</w:t>
      </w:r>
      <w:proofErr w:type="spellEnd"/>
      <w:r w:rsidRPr="00F916B6">
        <w:t xml:space="preserve">). Отношения изотопов </w:t>
      </w:r>
      <w:r w:rsidRPr="00F916B6">
        <w:rPr>
          <w:vertAlign w:val="superscript"/>
        </w:rPr>
        <w:t>14</w:t>
      </w:r>
      <w:r w:rsidRPr="00F916B6">
        <w:t>C/</w:t>
      </w:r>
      <w:r w:rsidRPr="00F916B6">
        <w:rPr>
          <w:vertAlign w:val="superscript"/>
        </w:rPr>
        <w:t>13</w:t>
      </w:r>
      <w:r w:rsidRPr="00F916B6">
        <w:t xml:space="preserve">C и </w:t>
      </w:r>
      <w:r w:rsidRPr="00F916B6">
        <w:rPr>
          <w:vertAlign w:val="superscript"/>
        </w:rPr>
        <w:t>13</w:t>
      </w:r>
      <w:r w:rsidRPr="00F916B6">
        <w:t>C/</w:t>
      </w:r>
      <w:r w:rsidRPr="00F916B6">
        <w:rPr>
          <w:vertAlign w:val="superscript"/>
        </w:rPr>
        <w:t>12</w:t>
      </w:r>
      <w:r w:rsidRPr="00F916B6">
        <w:t xml:space="preserve">C в графите измеряли с помощью ускорительного масс-спектрометра CAIS 0,5 МэВ в Центре прикладных изотопных исследований Университета Джорджии, США. Для расчета возраста использован период полураспада </w:t>
      </w:r>
      <w:r w:rsidRPr="00F916B6">
        <w:rPr>
          <w:vertAlign w:val="superscript"/>
        </w:rPr>
        <w:t>14</w:t>
      </w:r>
      <w:r w:rsidRPr="00F916B6">
        <w:t>С 5568 лет [</w:t>
      </w:r>
      <w:proofErr w:type="spellStart"/>
      <w:r w:rsidRPr="00F916B6">
        <w:t>Stuiver</w:t>
      </w:r>
      <w:proofErr w:type="spellEnd"/>
      <w:r w:rsidRPr="00F916B6">
        <w:t xml:space="preserve"> </w:t>
      </w:r>
      <w:proofErr w:type="spellStart"/>
      <w:r w:rsidRPr="00F916B6">
        <w:t>and</w:t>
      </w:r>
      <w:proofErr w:type="spellEnd"/>
      <w:r w:rsidRPr="00F916B6">
        <w:t xml:space="preserve"> </w:t>
      </w:r>
      <w:proofErr w:type="spellStart"/>
      <w:r w:rsidRPr="00F916B6">
        <w:t>Polach</w:t>
      </w:r>
      <w:proofErr w:type="spellEnd"/>
      <w:r w:rsidRPr="00F916B6">
        <w:t>, 1977] (для перехода на период полураспада 5730 лет необходимо к дате ввести коэффициент 1.03). Радиоуглеродный возраст был скорректирован c учетом изотопного фракционирования с использованием измеренного AMS значения изотопного сдвига δ</w:t>
      </w:r>
      <w:r w:rsidRPr="00F916B6">
        <w:rPr>
          <w:vertAlign w:val="superscript"/>
        </w:rPr>
        <w:t>13</w:t>
      </w:r>
      <w:r w:rsidRPr="00F916B6">
        <w:t xml:space="preserve">C. </w:t>
      </w:r>
    </w:p>
    <w:p w14:paraId="2DE84B08" w14:textId="1DF84BDC" w:rsidR="007C791D" w:rsidRDefault="007C791D" w:rsidP="007761EF">
      <w:pPr>
        <w:spacing w:after="200"/>
        <w:contextualSpacing/>
        <w:jc w:val="both"/>
      </w:pPr>
      <w:r w:rsidRPr="00F916B6">
        <w:t>Конвенциональн</w:t>
      </w:r>
      <w:r w:rsidR="00FD7F55" w:rsidRPr="00F916B6">
        <w:t>ы</w:t>
      </w:r>
      <w:r w:rsidRPr="00F916B6">
        <w:t>е значени</w:t>
      </w:r>
      <w:r w:rsidR="00FD7F55" w:rsidRPr="00F916B6">
        <w:t>я</w:t>
      </w:r>
      <w:r w:rsidRPr="00F916B6">
        <w:t xml:space="preserve"> радиоуглеродн</w:t>
      </w:r>
      <w:r w:rsidR="003F7C36" w:rsidRPr="00F916B6">
        <w:t>ых</w:t>
      </w:r>
      <w:r w:rsidRPr="00F916B6">
        <w:t xml:space="preserve"> возраст</w:t>
      </w:r>
      <w:r w:rsidR="003F7C36" w:rsidRPr="00F916B6">
        <w:t>ов</w:t>
      </w:r>
      <w:r w:rsidR="006335E1" w:rsidRPr="00F916B6">
        <w:t>, полученные в обеих лабораториях,</w:t>
      </w:r>
      <w:r w:rsidRPr="00F916B6">
        <w:t xml:space="preserve"> калиброван</w:t>
      </w:r>
      <w:r w:rsidR="00FD7F55" w:rsidRPr="00F916B6">
        <w:t>ы</w:t>
      </w:r>
      <w:r w:rsidRPr="00F916B6">
        <w:t xml:space="preserve"> со стандартным отклонением 2σ (95.4 %) </w:t>
      </w:r>
      <w:r w:rsidR="00FD7F55" w:rsidRPr="00F916B6">
        <w:t>в</w:t>
      </w:r>
      <w:r w:rsidRPr="00F916B6">
        <w:t xml:space="preserve"> программ</w:t>
      </w:r>
      <w:r w:rsidR="00FD7F55" w:rsidRPr="00F916B6">
        <w:t>е</w:t>
      </w:r>
      <w:r w:rsidRPr="00F916B6">
        <w:t xml:space="preserve"> </w:t>
      </w:r>
      <w:proofErr w:type="spellStart"/>
      <w:r w:rsidR="00FD7F55" w:rsidRPr="00F916B6">
        <w:t>OxCal</w:t>
      </w:r>
      <w:proofErr w:type="spellEnd"/>
      <w:r w:rsidR="00FD7F55" w:rsidRPr="00F916B6">
        <w:t xml:space="preserve"> 4.4.4 [</w:t>
      </w:r>
      <w:proofErr w:type="spellStart"/>
      <w:r w:rsidR="00FD7F55" w:rsidRPr="00F916B6">
        <w:rPr>
          <w:lang w:val="en-US"/>
        </w:rPr>
        <w:t>Bronk</w:t>
      </w:r>
      <w:proofErr w:type="spellEnd"/>
      <w:r w:rsidR="00FD7F55" w:rsidRPr="00F916B6">
        <w:t xml:space="preserve"> </w:t>
      </w:r>
      <w:r w:rsidR="00FD7F55" w:rsidRPr="00F916B6">
        <w:rPr>
          <w:lang w:val="en-US"/>
        </w:rPr>
        <w:t>Ramsey</w:t>
      </w:r>
      <w:r w:rsidR="00FD7F55" w:rsidRPr="00F916B6">
        <w:t>, 2021] с использованием</w:t>
      </w:r>
      <w:r w:rsidRPr="00F916B6">
        <w:t xml:space="preserve"> базы калибровочных данных IntCal20 [</w:t>
      </w:r>
      <w:proofErr w:type="spellStart"/>
      <w:r w:rsidRPr="00F916B6">
        <w:t>Reimer</w:t>
      </w:r>
      <w:proofErr w:type="spellEnd"/>
      <w:r w:rsidRPr="00F916B6">
        <w:t xml:space="preserve"> </w:t>
      </w:r>
      <w:proofErr w:type="spellStart"/>
      <w:r w:rsidRPr="00F916B6">
        <w:t>et</w:t>
      </w:r>
      <w:proofErr w:type="spellEnd"/>
      <w:r w:rsidRPr="00F916B6">
        <w:t xml:space="preserve"> </w:t>
      </w:r>
      <w:proofErr w:type="spellStart"/>
      <w:r w:rsidRPr="00F916B6">
        <w:t>al</w:t>
      </w:r>
      <w:proofErr w:type="spellEnd"/>
      <w:r w:rsidRPr="00F916B6">
        <w:t xml:space="preserve">., 2020]. В </w:t>
      </w:r>
      <w:r w:rsidR="00FD7F55" w:rsidRPr="00F916B6">
        <w:t>таблице 2</w:t>
      </w:r>
      <w:r w:rsidRPr="00F916B6">
        <w:t xml:space="preserve"> представлены конвенциональны</w:t>
      </w:r>
      <w:r w:rsidR="00FD7F55" w:rsidRPr="00F916B6">
        <w:t>е</w:t>
      </w:r>
      <w:r w:rsidRPr="00F916B6">
        <w:t xml:space="preserve"> (л.</w:t>
      </w:r>
      <w:r w:rsidR="006335E1" w:rsidRPr="00F916B6">
        <w:t xml:space="preserve"> </w:t>
      </w:r>
      <w:r w:rsidRPr="00F916B6">
        <w:t>н. от 1950 г.) и калиброванны</w:t>
      </w:r>
      <w:r w:rsidR="00FD7F55" w:rsidRPr="00F916B6">
        <w:t>е</w:t>
      </w:r>
      <w:r w:rsidRPr="00F916B6">
        <w:t xml:space="preserve"> (кал. л.</w:t>
      </w:r>
      <w:r w:rsidR="006335E1" w:rsidRPr="00F916B6">
        <w:t xml:space="preserve"> </w:t>
      </w:r>
      <w:r w:rsidRPr="00F916B6">
        <w:t>н. от 1950 г.) радиоуглеродные возрасты.</w:t>
      </w:r>
    </w:p>
    <w:p w14:paraId="5282E752" w14:textId="77777777" w:rsidR="007761EF" w:rsidRPr="007761EF" w:rsidRDefault="007761EF" w:rsidP="007761EF">
      <w:pPr>
        <w:spacing w:after="200"/>
        <w:contextualSpacing/>
        <w:jc w:val="both"/>
      </w:pPr>
    </w:p>
    <w:p w14:paraId="6C7B3C97" w14:textId="38FEC767" w:rsidR="00D03829" w:rsidRPr="00F916B6" w:rsidRDefault="008103D8">
      <w:pPr>
        <w:spacing w:after="200" w:line="276" w:lineRule="auto"/>
        <w:ind w:firstLine="0"/>
      </w:pPr>
      <w:bookmarkStart w:id="7" w:name="_heading=h.4t35rjka1tri" w:colFirst="0" w:colLast="0"/>
      <w:bookmarkEnd w:id="7"/>
      <w:r w:rsidRPr="00F916B6">
        <w:t xml:space="preserve">Табл. 2. Результаты </w:t>
      </w:r>
      <w:r w:rsidR="00F23A9F" w:rsidRPr="00F916B6">
        <w:t xml:space="preserve">датирования </w:t>
      </w:r>
      <w:r w:rsidRPr="00F916B6">
        <w:t xml:space="preserve">радиоуглеродным методом образцов </w:t>
      </w:r>
      <w:r w:rsidR="006335E1" w:rsidRPr="00F916B6">
        <w:t>из</w:t>
      </w:r>
      <w:r w:rsidRPr="00F916B6">
        <w:t xml:space="preserve"> разреза </w:t>
      </w:r>
      <w:proofErr w:type="spellStart"/>
      <w:r w:rsidRPr="00F916B6">
        <w:t>Гурам</w:t>
      </w:r>
      <w:proofErr w:type="spellEnd"/>
      <w:r w:rsidRPr="00F916B6">
        <w:t xml:space="preserve"> (описание разреза </w:t>
      </w:r>
      <w:proofErr w:type="spellStart"/>
      <w:r w:rsidRPr="00F916B6">
        <w:t>Гурам</w:t>
      </w:r>
      <w:proofErr w:type="spellEnd"/>
      <w:r w:rsidRPr="00F916B6">
        <w:t xml:space="preserve"> </w:t>
      </w:r>
      <w:r w:rsidR="002E647F" w:rsidRPr="00F916B6">
        <w:t xml:space="preserve">см. </w:t>
      </w:r>
      <w:r w:rsidRPr="00F916B6">
        <w:t xml:space="preserve">в прил. 1). </w:t>
      </w:r>
    </w:p>
    <w:tbl>
      <w:tblPr>
        <w:tblStyle w:val="TableGrid"/>
        <w:tblW w:w="0" w:type="auto"/>
        <w:jc w:val="center"/>
        <w:tblLayout w:type="fixed"/>
        <w:tblLook w:val="0600" w:firstRow="0" w:lastRow="0" w:firstColumn="0" w:lastColumn="0" w:noHBand="1" w:noVBand="1"/>
      </w:tblPr>
      <w:tblGrid>
        <w:gridCol w:w="1809"/>
        <w:gridCol w:w="1418"/>
        <w:gridCol w:w="1559"/>
        <w:gridCol w:w="1559"/>
        <w:gridCol w:w="2268"/>
        <w:gridCol w:w="2069"/>
      </w:tblGrid>
      <w:tr w:rsidR="00610734" w:rsidRPr="00360539" w14:paraId="51318396" w14:textId="77777777" w:rsidTr="00360539">
        <w:trPr>
          <w:trHeight w:val="828"/>
          <w:jc w:val="center"/>
        </w:trPr>
        <w:tc>
          <w:tcPr>
            <w:tcW w:w="1809" w:type="dxa"/>
            <w:vAlign w:val="center"/>
          </w:tcPr>
          <w:p w14:paraId="4ED05E12" w14:textId="77777777" w:rsidR="00F916B6" w:rsidRPr="00360539" w:rsidRDefault="00F916B6" w:rsidP="00360539">
            <w:pPr>
              <w:ind w:firstLine="0"/>
              <w:contextualSpacing/>
              <w:jc w:val="center"/>
              <w:rPr>
                <w:b/>
              </w:rPr>
            </w:pPr>
            <w:r w:rsidRPr="00360539">
              <w:rPr>
                <w:b/>
              </w:rPr>
              <w:lastRenderedPageBreak/>
              <w:t>Лаб.</w:t>
            </w:r>
          </w:p>
          <w:p w14:paraId="2AB5C410" w14:textId="77777777" w:rsidR="00F916B6" w:rsidRPr="00360539" w:rsidRDefault="00F916B6" w:rsidP="00360539">
            <w:pPr>
              <w:ind w:firstLine="0"/>
              <w:contextualSpacing/>
              <w:jc w:val="center"/>
              <w:rPr>
                <w:b/>
              </w:rPr>
            </w:pPr>
            <w:r w:rsidRPr="00360539">
              <w:rPr>
                <w:b/>
              </w:rPr>
              <w:t>номер</w:t>
            </w:r>
          </w:p>
        </w:tc>
        <w:tc>
          <w:tcPr>
            <w:tcW w:w="1418" w:type="dxa"/>
            <w:vAlign w:val="center"/>
          </w:tcPr>
          <w:p w14:paraId="1A2F6664" w14:textId="77777777" w:rsidR="00F916B6" w:rsidRPr="00360539" w:rsidRDefault="00F916B6" w:rsidP="00360539">
            <w:pPr>
              <w:ind w:firstLine="0"/>
              <w:contextualSpacing/>
              <w:jc w:val="center"/>
              <w:rPr>
                <w:b/>
              </w:rPr>
            </w:pPr>
            <w:r w:rsidRPr="00360539">
              <w:rPr>
                <w:b/>
              </w:rPr>
              <w:t>Номер образца</w:t>
            </w:r>
          </w:p>
        </w:tc>
        <w:tc>
          <w:tcPr>
            <w:tcW w:w="1559" w:type="dxa"/>
            <w:vAlign w:val="center"/>
          </w:tcPr>
          <w:p w14:paraId="2777D63B" w14:textId="77777777" w:rsidR="00F916B6" w:rsidRPr="00360539" w:rsidRDefault="00F916B6" w:rsidP="00360539">
            <w:pPr>
              <w:ind w:firstLine="0"/>
              <w:contextualSpacing/>
              <w:jc w:val="center"/>
              <w:rPr>
                <w:b/>
              </w:rPr>
            </w:pPr>
            <w:r w:rsidRPr="00360539">
              <w:rPr>
                <w:b/>
              </w:rPr>
              <w:t>Интервал,</w:t>
            </w:r>
          </w:p>
          <w:p w14:paraId="3B626F59" w14:textId="77777777" w:rsidR="00F916B6" w:rsidRPr="00360539" w:rsidRDefault="00F916B6" w:rsidP="00360539">
            <w:pPr>
              <w:ind w:firstLine="0"/>
              <w:contextualSpacing/>
              <w:jc w:val="center"/>
              <w:rPr>
                <w:b/>
              </w:rPr>
            </w:pPr>
            <w:r w:rsidRPr="00360539">
              <w:rPr>
                <w:b/>
              </w:rPr>
              <w:t>см</w:t>
            </w:r>
          </w:p>
        </w:tc>
        <w:tc>
          <w:tcPr>
            <w:tcW w:w="1559" w:type="dxa"/>
            <w:vAlign w:val="center"/>
          </w:tcPr>
          <w:p w14:paraId="4A5681F9" w14:textId="77777777" w:rsidR="00F916B6" w:rsidRPr="00360539" w:rsidRDefault="00F916B6" w:rsidP="00360539">
            <w:pPr>
              <w:ind w:firstLine="0"/>
              <w:contextualSpacing/>
              <w:jc w:val="center"/>
              <w:rPr>
                <w:b/>
              </w:rPr>
            </w:pPr>
            <w:r w:rsidRPr="00360539">
              <w:rPr>
                <w:b/>
              </w:rPr>
              <w:t>Материал</w:t>
            </w:r>
          </w:p>
        </w:tc>
        <w:tc>
          <w:tcPr>
            <w:tcW w:w="2268" w:type="dxa"/>
            <w:vAlign w:val="center"/>
          </w:tcPr>
          <w:p w14:paraId="73C502B9" w14:textId="77777777" w:rsidR="00F916B6" w:rsidRPr="00360539" w:rsidRDefault="00F916B6" w:rsidP="00360539">
            <w:pPr>
              <w:ind w:firstLine="0"/>
              <w:contextualSpacing/>
              <w:jc w:val="center"/>
              <w:rPr>
                <w:b/>
              </w:rPr>
            </w:pPr>
            <w:r w:rsidRPr="00360539">
              <w:rPr>
                <w:b/>
              </w:rPr>
              <w:t>Радиоуглеродный возраст,</w:t>
            </w:r>
          </w:p>
          <w:p w14:paraId="6806682B" w14:textId="5D1416D2" w:rsidR="00F916B6" w:rsidRPr="00360539" w:rsidRDefault="00F916B6" w:rsidP="00360539">
            <w:pPr>
              <w:keepNext/>
              <w:keepLines/>
              <w:ind w:firstLine="0"/>
              <w:contextualSpacing/>
              <w:jc w:val="center"/>
              <w:outlineLvl w:val="5"/>
              <w:rPr>
                <w:b/>
              </w:rPr>
            </w:pPr>
            <w:r w:rsidRPr="00360539">
              <w:rPr>
                <w:b/>
              </w:rPr>
              <w:t>лет назад</w:t>
            </w:r>
          </w:p>
        </w:tc>
        <w:tc>
          <w:tcPr>
            <w:tcW w:w="2069" w:type="dxa"/>
            <w:vAlign w:val="center"/>
          </w:tcPr>
          <w:p w14:paraId="41E5D15E" w14:textId="616B8574" w:rsidR="00F916B6" w:rsidRPr="00360539" w:rsidRDefault="00F916B6" w:rsidP="00360539">
            <w:pPr>
              <w:ind w:firstLine="0"/>
              <w:contextualSpacing/>
              <w:jc w:val="center"/>
              <w:rPr>
                <w:b/>
              </w:rPr>
            </w:pPr>
            <w:r w:rsidRPr="00360539">
              <w:rPr>
                <w:b/>
              </w:rPr>
              <w:t>Калиброванный возраст (2 σ), кал. лет назад</w:t>
            </w:r>
          </w:p>
        </w:tc>
      </w:tr>
      <w:tr w:rsidR="00610734" w:rsidRPr="00360539" w14:paraId="55E2CC2B" w14:textId="77777777" w:rsidTr="00360539">
        <w:trPr>
          <w:trHeight w:val="828"/>
          <w:jc w:val="center"/>
        </w:trPr>
        <w:tc>
          <w:tcPr>
            <w:tcW w:w="1809" w:type="dxa"/>
            <w:vAlign w:val="center"/>
          </w:tcPr>
          <w:p w14:paraId="7391F020" w14:textId="77777777" w:rsidR="00F916B6" w:rsidRPr="00360539" w:rsidRDefault="00F916B6" w:rsidP="00360539">
            <w:pPr>
              <w:keepNext/>
              <w:keepLines/>
              <w:ind w:left="-320" w:firstLine="0"/>
              <w:contextualSpacing/>
              <w:jc w:val="center"/>
              <w:outlineLvl w:val="5"/>
            </w:pPr>
            <w:r w:rsidRPr="00360539">
              <w:t>IGAN</w:t>
            </w:r>
            <w:r w:rsidRPr="00360539">
              <w:rPr>
                <w:vertAlign w:val="subscript"/>
              </w:rPr>
              <w:t>AMS</w:t>
            </w:r>
            <w:r w:rsidRPr="00360539">
              <w:t>-6527</w:t>
            </w:r>
          </w:p>
        </w:tc>
        <w:tc>
          <w:tcPr>
            <w:tcW w:w="1418" w:type="dxa"/>
            <w:vAlign w:val="center"/>
          </w:tcPr>
          <w:p w14:paraId="40B5E546" w14:textId="5E652A61" w:rsidR="00F916B6" w:rsidRPr="00360539" w:rsidRDefault="00F916B6" w:rsidP="00360539">
            <w:pPr>
              <w:ind w:left="-320" w:firstLine="0"/>
              <w:contextualSpacing/>
              <w:jc w:val="center"/>
            </w:pPr>
            <w:r w:rsidRPr="00360539">
              <w:t>ИТ 18-64</w:t>
            </w:r>
          </w:p>
        </w:tc>
        <w:tc>
          <w:tcPr>
            <w:tcW w:w="1559" w:type="dxa"/>
            <w:vAlign w:val="center"/>
          </w:tcPr>
          <w:p w14:paraId="1D298CC4" w14:textId="77777777" w:rsidR="00F916B6" w:rsidRPr="00360539" w:rsidRDefault="00F916B6" w:rsidP="00360539">
            <w:pPr>
              <w:ind w:left="-320" w:firstLine="0"/>
              <w:contextualSpacing/>
              <w:jc w:val="center"/>
            </w:pPr>
          </w:p>
        </w:tc>
        <w:tc>
          <w:tcPr>
            <w:tcW w:w="1559" w:type="dxa"/>
            <w:vAlign w:val="center"/>
          </w:tcPr>
          <w:p w14:paraId="5E0A08FA" w14:textId="77777777" w:rsidR="00F916B6" w:rsidRPr="00360539" w:rsidRDefault="00F916B6" w:rsidP="00360539">
            <w:pPr>
              <w:keepNext/>
              <w:keepLines/>
              <w:ind w:left="-320" w:firstLine="0"/>
              <w:contextualSpacing/>
              <w:jc w:val="center"/>
              <w:outlineLvl w:val="5"/>
            </w:pPr>
            <w:r w:rsidRPr="00360539">
              <w:t xml:space="preserve">Обугленный </w:t>
            </w:r>
            <w:proofErr w:type="spellStart"/>
            <w:r w:rsidRPr="00360539">
              <w:t>бамбучник</w:t>
            </w:r>
            <w:proofErr w:type="spellEnd"/>
          </w:p>
        </w:tc>
        <w:tc>
          <w:tcPr>
            <w:tcW w:w="2268" w:type="dxa"/>
            <w:vAlign w:val="center"/>
          </w:tcPr>
          <w:p w14:paraId="42074D7D" w14:textId="77777777" w:rsidR="00F916B6" w:rsidRPr="00360539" w:rsidRDefault="00F916B6" w:rsidP="00360539">
            <w:pPr>
              <w:keepNext/>
              <w:keepLines/>
              <w:ind w:left="-320" w:firstLine="0"/>
              <w:contextualSpacing/>
              <w:jc w:val="center"/>
              <w:outlineLvl w:val="5"/>
            </w:pPr>
            <w:r w:rsidRPr="00360539">
              <w:t>2090±20</w:t>
            </w:r>
          </w:p>
        </w:tc>
        <w:tc>
          <w:tcPr>
            <w:tcW w:w="2069" w:type="dxa"/>
            <w:vAlign w:val="center"/>
          </w:tcPr>
          <w:p w14:paraId="4ACC2C3D" w14:textId="0A7D4A5F" w:rsidR="00F916B6" w:rsidRPr="00360539" w:rsidRDefault="00F916B6" w:rsidP="00360539">
            <w:pPr>
              <w:keepNext/>
              <w:keepLines/>
              <w:ind w:left="-320" w:firstLine="0"/>
              <w:contextualSpacing/>
              <w:jc w:val="center"/>
              <w:outlineLvl w:val="5"/>
            </w:pPr>
            <w:r w:rsidRPr="00360539">
              <w:t>205</w:t>
            </w:r>
            <w:r w:rsidRPr="00360539">
              <w:rPr>
                <w:lang w:val="en-US"/>
              </w:rPr>
              <w:t>6</w:t>
            </w:r>
            <w:r w:rsidRPr="00360539">
              <w:t>±</w:t>
            </w:r>
            <w:r w:rsidRPr="00360539">
              <w:rPr>
                <w:lang w:val="en-US"/>
              </w:rPr>
              <w:t>61</w:t>
            </w:r>
          </w:p>
        </w:tc>
      </w:tr>
      <w:tr w:rsidR="00610734" w:rsidRPr="00360539" w14:paraId="3B9D3ABB" w14:textId="77777777" w:rsidTr="00360539">
        <w:trPr>
          <w:trHeight w:val="828"/>
          <w:jc w:val="center"/>
        </w:trPr>
        <w:tc>
          <w:tcPr>
            <w:tcW w:w="1809" w:type="dxa"/>
            <w:vAlign w:val="center"/>
          </w:tcPr>
          <w:p w14:paraId="78BF7744" w14:textId="77777777" w:rsidR="00F916B6" w:rsidRPr="00360539" w:rsidRDefault="00F916B6" w:rsidP="00360539">
            <w:pPr>
              <w:keepNext/>
              <w:keepLines/>
              <w:ind w:left="-320" w:firstLine="0"/>
              <w:contextualSpacing/>
              <w:jc w:val="center"/>
              <w:outlineLvl w:val="5"/>
            </w:pPr>
            <w:r w:rsidRPr="00360539">
              <w:t>ЛУ-9183</w:t>
            </w:r>
          </w:p>
        </w:tc>
        <w:tc>
          <w:tcPr>
            <w:tcW w:w="1418" w:type="dxa"/>
            <w:vAlign w:val="center"/>
          </w:tcPr>
          <w:p w14:paraId="644F7040" w14:textId="77777777" w:rsidR="00F916B6" w:rsidRPr="00360539" w:rsidRDefault="00F916B6" w:rsidP="00360539">
            <w:pPr>
              <w:keepNext/>
              <w:keepLines/>
              <w:ind w:left="-320" w:firstLine="0"/>
              <w:contextualSpacing/>
              <w:jc w:val="center"/>
              <w:outlineLvl w:val="5"/>
            </w:pPr>
            <w:r w:rsidRPr="00360539">
              <w:t>Р22/2018</w:t>
            </w:r>
          </w:p>
        </w:tc>
        <w:tc>
          <w:tcPr>
            <w:tcW w:w="1559" w:type="dxa"/>
            <w:vAlign w:val="center"/>
          </w:tcPr>
          <w:p w14:paraId="56922D87" w14:textId="77777777" w:rsidR="00F916B6" w:rsidRPr="00360539" w:rsidRDefault="00F916B6" w:rsidP="00360539">
            <w:pPr>
              <w:ind w:left="-320" w:firstLine="0"/>
              <w:contextualSpacing/>
              <w:jc w:val="center"/>
            </w:pPr>
          </w:p>
        </w:tc>
        <w:tc>
          <w:tcPr>
            <w:tcW w:w="1559" w:type="dxa"/>
            <w:vAlign w:val="center"/>
          </w:tcPr>
          <w:p w14:paraId="40E96B8F" w14:textId="77777777" w:rsidR="00F916B6" w:rsidRPr="00360539" w:rsidRDefault="00F916B6" w:rsidP="00360539">
            <w:pPr>
              <w:keepNext/>
              <w:keepLines/>
              <w:ind w:left="-320" w:firstLine="0"/>
              <w:contextualSpacing/>
              <w:jc w:val="center"/>
              <w:outlineLvl w:val="5"/>
            </w:pPr>
            <w:r w:rsidRPr="00360539">
              <w:t xml:space="preserve">Обугленный </w:t>
            </w:r>
            <w:proofErr w:type="spellStart"/>
            <w:r w:rsidRPr="00360539">
              <w:t>бамбучник</w:t>
            </w:r>
            <w:proofErr w:type="spellEnd"/>
          </w:p>
        </w:tc>
        <w:tc>
          <w:tcPr>
            <w:tcW w:w="2268" w:type="dxa"/>
            <w:vAlign w:val="center"/>
          </w:tcPr>
          <w:p w14:paraId="55D02CC8" w14:textId="77777777" w:rsidR="00F916B6" w:rsidRPr="00360539" w:rsidRDefault="00F916B6" w:rsidP="00360539">
            <w:pPr>
              <w:keepNext/>
              <w:keepLines/>
              <w:ind w:left="-320" w:firstLine="0"/>
              <w:contextualSpacing/>
              <w:jc w:val="center"/>
              <w:outlineLvl w:val="5"/>
            </w:pPr>
            <w:r w:rsidRPr="00360539">
              <w:t>2060±70</w:t>
            </w:r>
          </w:p>
        </w:tc>
        <w:tc>
          <w:tcPr>
            <w:tcW w:w="2069" w:type="dxa"/>
            <w:vAlign w:val="center"/>
          </w:tcPr>
          <w:p w14:paraId="7FB3ED3D" w14:textId="370CB889" w:rsidR="00F916B6" w:rsidRPr="00360539" w:rsidRDefault="00F916B6" w:rsidP="00360539">
            <w:pPr>
              <w:keepNext/>
              <w:keepLines/>
              <w:ind w:left="-320" w:firstLine="0"/>
              <w:contextualSpacing/>
              <w:jc w:val="center"/>
              <w:outlineLvl w:val="5"/>
              <w:rPr>
                <w:lang w:val="en-US"/>
              </w:rPr>
            </w:pPr>
            <w:r w:rsidRPr="00360539">
              <w:t>20</w:t>
            </w:r>
            <w:r w:rsidRPr="00360539">
              <w:rPr>
                <w:lang w:val="en-US"/>
              </w:rPr>
              <w:t>64</w:t>
            </w:r>
            <w:r w:rsidRPr="00360539">
              <w:t>±</w:t>
            </w:r>
            <w:r w:rsidRPr="00360539">
              <w:rPr>
                <w:lang w:val="en-US"/>
              </w:rPr>
              <w:t>237</w:t>
            </w:r>
          </w:p>
        </w:tc>
      </w:tr>
      <w:tr w:rsidR="00610734" w:rsidRPr="00360539" w14:paraId="551D1262" w14:textId="77777777" w:rsidTr="00360539">
        <w:trPr>
          <w:trHeight w:val="828"/>
          <w:jc w:val="center"/>
        </w:trPr>
        <w:tc>
          <w:tcPr>
            <w:tcW w:w="1809" w:type="dxa"/>
            <w:vAlign w:val="center"/>
          </w:tcPr>
          <w:p w14:paraId="19E2DDC5" w14:textId="77777777" w:rsidR="00F916B6" w:rsidRPr="00360539" w:rsidRDefault="00F916B6" w:rsidP="00360539">
            <w:pPr>
              <w:keepNext/>
              <w:keepLines/>
              <w:ind w:left="-320" w:firstLine="0"/>
              <w:contextualSpacing/>
              <w:jc w:val="center"/>
              <w:outlineLvl w:val="5"/>
            </w:pPr>
            <w:r w:rsidRPr="00360539">
              <w:t>ЛУ-10775</w:t>
            </w:r>
          </w:p>
        </w:tc>
        <w:tc>
          <w:tcPr>
            <w:tcW w:w="1418" w:type="dxa"/>
            <w:vAlign w:val="center"/>
          </w:tcPr>
          <w:p w14:paraId="2F628D22" w14:textId="77777777" w:rsidR="00F916B6" w:rsidRPr="00360539" w:rsidRDefault="00F916B6" w:rsidP="00360539">
            <w:pPr>
              <w:keepNext/>
              <w:keepLines/>
              <w:ind w:left="-320" w:firstLine="0"/>
              <w:contextualSpacing/>
              <w:jc w:val="center"/>
              <w:outlineLvl w:val="5"/>
            </w:pPr>
            <w:r w:rsidRPr="00360539">
              <w:t>188-А1</w:t>
            </w:r>
          </w:p>
        </w:tc>
        <w:tc>
          <w:tcPr>
            <w:tcW w:w="1559" w:type="dxa"/>
            <w:vAlign w:val="center"/>
          </w:tcPr>
          <w:p w14:paraId="72CD1E86" w14:textId="77777777" w:rsidR="00F916B6" w:rsidRPr="00360539" w:rsidRDefault="00F916B6" w:rsidP="00360539">
            <w:pPr>
              <w:keepNext/>
              <w:keepLines/>
              <w:ind w:left="-320" w:firstLine="0"/>
              <w:contextualSpacing/>
              <w:jc w:val="center"/>
              <w:outlineLvl w:val="5"/>
            </w:pPr>
            <w:r w:rsidRPr="00360539">
              <w:t>190-191</w:t>
            </w:r>
          </w:p>
        </w:tc>
        <w:tc>
          <w:tcPr>
            <w:tcW w:w="1559" w:type="dxa"/>
            <w:vAlign w:val="center"/>
          </w:tcPr>
          <w:p w14:paraId="4218FE54" w14:textId="74EBAE52" w:rsidR="00F916B6" w:rsidRPr="00360539" w:rsidRDefault="00F916B6" w:rsidP="00360539">
            <w:pPr>
              <w:keepNext/>
              <w:keepLines/>
              <w:ind w:left="-320" w:firstLine="0"/>
              <w:contextualSpacing/>
              <w:jc w:val="center"/>
              <w:outlineLvl w:val="5"/>
            </w:pPr>
            <w:r w:rsidRPr="00360539">
              <w:t>Погребенная</w:t>
            </w:r>
          </w:p>
          <w:p w14:paraId="53E1BBE6" w14:textId="77777777" w:rsidR="00F916B6" w:rsidRPr="00360539" w:rsidRDefault="00F916B6" w:rsidP="00360539">
            <w:pPr>
              <w:keepNext/>
              <w:keepLines/>
              <w:ind w:left="-320" w:firstLine="0"/>
              <w:contextualSpacing/>
              <w:jc w:val="center"/>
              <w:outlineLvl w:val="5"/>
            </w:pPr>
            <w:r w:rsidRPr="00360539">
              <w:t>почва</w:t>
            </w:r>
          </w:p>
        </w:tc>
        <w:tc>
          <w:tcPr>
            <w:tcW w:w="2268" w:type="dxa"/>
            <w:vAlign w:val="center"/>
          </w:tcPr>
          <w:p w14:paraId="15F2492A" w14:textId="77777777" w:rsidR="00F916B6" w:rsidRPr="00360539" w:rsidRDefault="00F916B6" w:rsidP="00360539">
            <w:pPr>
              <w:keepNext/>
              <w:keepLines/>
              <w:ind w:left="-320" w:firstLine="0"/>
              <w:contextualSpacing/>
              <w:jc w:val="center"/>
              <w:outlineLvl w:val="5"/>
            </w:pPr>
            <w:r w:rsidRPr="00360539">
              <w:t>2430±50</w:t>
            </w:r>
          </w:p>
        </w:tc>
        <w:tc>
          <w:tcPr>
            <w:tcW w:w="2069" w:type="dxa"/>
            <w:vAlign w:val="center"/>
          </w:tcPr>
          <w:p w14:paraId="285FEEAC" w14:textId="1B297E76" w:rsidR="00F916B6" w:rsidRPr="00360539" w:rsidRDefault="00F916B6" w:rsidP="00360539">
            <w:pPr>
              <w:keepNext/>
              <w:keepLines/>
              <w:ind w:left="-320" w:firstLine="0"/>
              <w:contextualSpacing/>
              <w:jc w:val="center"/>
              <w:outlineLvl w:val="5"/>
              <w:rPr>
                <w:lang w:val="en-US"/>
              </w:rPr>
            </w:pPr>
            <w:r w:rsidRPr="00360539">
              <w:t>25</w:t>
            </w:r>
            <w:r w:rsidRPr="00360539">
              <w:rPr>
                <w:lang w:val="en-US"/>
              </w:rPr>
              <w:t>28</w:t>
            </w:r>
            <w:r w:rsidRPr="00360539">
              <w:t>±</w:t>
            </w:r>
            <w:r w:rsidRPr="00360539">
              <w:rPr>
                <w:lang w:val="en-US"/>
              </w:rPr>
              <w:t>178</w:t>
            </w:r>
          </w:p>
        </w:tc>
      </w:tr>
      <w:tr w:rsidR="00610734" w:rsidRPr="00360539" w14:paraId="298F40FC" w14:textId="77777777" w:rsidTr="00360539">
        <w:trPr>
          <w:trHeight w:val="828"/>
          <w:jc w:val="center"/>
        </w:trPr>
        <w:tc>
          <w:tcPr>
            <w:tcW w:w="1809" w:type="dxa"/>
            <w:vAlign w:val="center"/>
          </w:tcPr>
          <w:p w14:paraId="57570D4C" w14:textId="77777777" w:rsidR="00F916B6" w:rsidRPr="00360539" w:rsidRDefault="00F916B6" w:rsidP="00360539">
            <w:pPr>
              <w:keepNext/>
              <w:keepLines/>
              <w:ind w:left="-320" w:firstLine="0"/>
              <w:contextualSpacing/>
              <w:jc w:val="center"/>
              <w:outlineLvl w:val="5"/>
            </w:pPr>
            <w:r w:rsidRPr="00360539">
              <w:t>ЛУ-10776</w:t>
            </w:r>
          </w:p>
        </w:tc>
        <w:tc>
          <w:tcPr>
            <w:tcW w:w="1418" w:type="dxa"/>
            <w:vAlign w:val="center"/>
          </w:tcPr>
          <w:p w14:paraId="41A5F254" w14:textId="77777777" w:rsidR="00F916B6" w:rsidRPr="00360539" w:rsidRDefault="00F916B6" w:rsidP="00360539">
            <w:pPr>
              <w:keepNext/>
              <w:keepLines/>
              <w:ind w:left="-320" w:firstLine="0"/>
              <w:contextualSpacing/>
              <w:jc w:val="center"/>
              <w:outlineLvl w:val="5"/>
            </w:pPr>
            <w:r w:rsidRPr="00360539">
              <w:t>188-А5</w:t>
            </w:r>
          </w:p>
        </w:tc>
        <w:tc>
          <w:tcPr>
            <w:tcW w:w="1559" w:type="dxa"/>
            <w:vAlign w:val="center"/>
          </w:tcPr>
          <w:p w14:paraId="164E5291" w14:textId="77777777" w:rsidR="00F916B6" w:rsidRPr="00360539" w:rsidRDefault="00F916B6" w:rsidP="00360539">
            <w:pPr>
              <w:keepNext/>
              <w:keepLines/>
              <w:ind w:left="-320" w:firstLine="0"/>
              <w:contextualSpacing/>
              <w:jc w:val="center"/>
              <w:outlineLvl w:val="5"/>
            </w:pPr>
            <w:r w:rsidRPr="00360539">
              <w:t>251-253</w:t>
            </w:r>
          </w:p>
        </w:tc>
        <w:tc>
          <w:tcPr>
            <w:tcW w:w="1559" w:type="dxa"/>
            <w:vAlign w:val="center"/>
          </w:tcPr>
          <w:p w14:paraId="55C2342E" w14:textId="77777777" w:rsidR="00F916B6" w:rsidRPr="00360539" w:rsidRDefault="00F916B6" w:rsidP="00360539">
            <w:pPr>
              <w:keepNext/>
              <w:keepLines/>
              <w:ind w:left="-320" w:firstLine="0"/>
              <w:contextualSpacing/>
              <w:jc w:val="center"/>
              <w:outlineLvl w:val="5"/>
            </w:pPr>
            <w:r w:rsidRPr="00360539">
              <w:t>Погребенная</w:t>
            </w:r>
          </w:p>
          <w:p w14:paraId="1658A8B2" w14:textId="108B714F" w:rsidR="00F916B6" w:rsidRPr="00360539" w:rsidRDefault="00F916B6" w:rsidP="00360539">
            <w:pPr>
              <w:keepNext/>
              <w:keepLines/>
              <w:ind w:left="-320" w:firstLine="0"/>
              <w:contextualSpacing/>
              <w:jc w:val="center"/>
              <w:outlineLvl w:val="5"/>
            </w:pPr>
            <w:r w:rsidRPr="00360539">
              <w:t>почва</w:t>
            </w:r>
          </w:p>
        </w:tc>
        <w:tc>
          <w:tcPr>
            <w:tcW w:w="2268" w:type="dxa"/>
            <w:vAlign w:val="center"/>
          </w:tcPr>
          <w:p w14:paraId="624C824A" w14:textId="77777777" w:rsidR="00F916B6" w:rsidRPr="00360539" w:rsidRDefault="00F916B6" w:rsidP="00360539">
            <w:pPr>
              <w:keepNext/>
              <w:keepLines/>
              <w:ind w:left="-320" w:firstLine="0"/>
              <w:contextualSpacing/>
              <w:jc w:val="center"/>
              <w:outlineLvl w:val="5"/>
            </w:pPr>
            <w:r w:rsidRPr="00360539">
              <w:t>6800±90</w:t>
            </w:r>
          </w:p>
        </w:tc>
        <w:tc>
          <w:tcPr>
            <w:tcW w:w="2069" w:type="dxa"/>
            <w:vAlign w:val="center"/>
          </w:tcPr>
          <w:p w14:paraId="49A779D2" w14:textId="0D92A775" w:rsidR="00F916B6" w:rsidRPr="00360539" w:rsidRDefault="00F916B6" w:rsidP="00360539">
            <w:pPr>
              <w:keepNext/>
              <w:keepLines/>
              <w:ind w:left="-320" w:firstLine="0"/>
              <w:contextualSpacing/>
              <w:jc w:val="center"/>
              <w:outlineLvl w:val="5"/>
              <w:rPr>
                <w:lang w:val="en-US"/>
              </w:rPr>
            </w:pPr>
            <w:r w:rsidRPr="00360539">
              <w:t>766</w:t>
            </w:r>
            <w:r w:rsidRPr="00360539">
              <w:rPr>
                <w:lang w:val="en-US"/>
              </w:rPr>
              <w:t>3</w:t>
            </w:r>
            <w:r w:rsidRPr="00360539">
              <w:t>±</w:t>
            </w:r>
            <w:r w:rsidRPr="00360539">
              <w:rPr>
                <w:lang w:val="en-US"/>
              </w:rPr>
              <w:t>176</w:t>
            </w:r>
          </w:p>
        </w:tc>
      </w:tr>
      <w:tr w:rsidR="00610734" w:rsidRPr="00360539" w14:paraId="257AEEA3" w14:textId="77777777" w:rsidTr="00360539">
        <w:trPr>
          <w:trHeight w:val="828"/>
          <w:jc w:val="center"/>
        </w:trPr>
        <w:tc>
          <w:tcPr>
            <w:tcW w:w="1809" w:type="dxa"/>
            <w:vAlign w:val="center"/>
          </w:tcPr>
          <w:p w14:paraId="77BCBB11" w14:textId="77777777" w:rsidR="00F916B6" w:rsidRPr="00360539" w:rsidRDefault="00F916B6" w:rsidP="00360539">
            <w:pPr>
              <w:keepNext/>
              <w:keepLines/>
              <w:ind w:left="-320" w:firstLine="0"/>
              <w:contextualSpacing/>
              <w:jc w:val="center"/>
              <w:outlineLvl w:val="5"/>
            </w:pPr>
            <w:r w:rsidRPr="00360539">
              <w:t>ЛУ-9184</w:t>
            </w:r>
          </w:p>
        </w:tc>
        <w:tc>
          <w:tcPr>
            <w:tcW w:w="1418" w:type="dxa"/>
            <w:vAlign w:val="center"/>
          </w:tcPr>
          <w:p w14:paraId="1E616BDF" w14:textId="77777777" w:rsidR="00F916B6" w:rsidRPr="00360539" w:rsidRDefault="00F916B6" w:rsidP="00360539">
            <w:pPr>
              <w:keepNext/>
              <w:keepLines/>
              <w:ind w:left="-320" w:firstLine="0"/>
              <w:contextualSpacing/>
              <w:jc w:val="center"/>
              <w:outlineLvl w:val="5"/>
            </w:pPr>
            <w:r w:rsidRPr="00360539">
              <w:t>Р29/2018</w:t>
            </w:r>
          </w:p>
        </w:tc>
        <w:tc>
          <w:tcPr>
            <w:tcW w:w="1559" w:type="dxa"/>
            <w:vAlign w:val="center"/>
          </w:tcPr>
          <w:p w14:paraId="1A7404AF" w14:textId="15A7B2DA" w:rsidR="00F916B6" w:rsidRPr="00360539" w:rsidRDefault="00F916B6" w:rsidP="00360539">
            <w:pPr>
              <w:keepNext/>
              <w:keepLines/>
              <w:ind w:firstLine="0"/>
              <w:contextualSpacing/>
              <w:jc w:val="center"/>
              <w:outlineLvl w:val="5"/>
            </w:pPr>
            <w:r w:rsidRPr="00360539">
              <w:t xml:space="preserve">Кровля </w:t>
            </w:r>
            <w:proofErr w:type="spellStart"/>
            <w:r w:rsidRPr="00360539">
              <w:t>палеопочвы</w:t>
            </w:r>
            <w:proofErr w:type="spellEnd"/>
          </w:p>
        </w:tc>
        <w:tc>
          <w:tcPr>
            <w:tcW w:w="1559" w:type="dxa"/>
            <w:vAlign w:val="center"/>
          </w:tcPr>
          <w:p w14:paraId="6FE469AA" w14:textId="50869E5E" w:rsidR="00F916B6" w:rsidRPr="00360539" w:rsidRDefault="00F916B6" w:rsidP="00360539">
            <w:pPr>
              <w:keepNext/>
              <w:keepLines/>
              <w:ind w:left="-320" w:firstLine="0"/>
              <w:contextualSpacing/>
              <w:jc w:val="center"/>
              <w:outlineLvl w:val="5"/>
            </w:pPr>
            <w:r w:rsidRPr="00360539">
              <w:t>Погребенная</w:t>
            </w:r>
          </w:p>
          <w:p w14:paraId="28B69286" w14:textId="54AC9B9B" w:rsidR="00F916B6" w:rsidRPr="00360539" w:rsidRDefault="00F916B6" w:rsidP="00360539">
            <w:pPr>
              <w:keepNext/>
              <w:keepLines/>
              <w:ind w:left="-320" w:firstLine="0"/>
              <w:contextualSpacing/>
              <w:jc w:val="center"/>
              <w:outlineLvl w:val="5"/>
            </w:pPr>
            <w:r w:rsidRPr="00360539">
              <w:t>почва</w:t>
            </w:r>
          </w:p>
        </w:tc>
        <w:tc>
          <w:tcPr>
            <w:tcW w:w="2268" w:type="dxa"/>
            <w:vAlign w:val="center"/>
          </w:tcPr>
          <w:p w14:paraId="7F1FEA94" w14:textId="77777777" w:rsidR="00F916B6" w:rsidRPr="00360539" w:rsidRDefault="00F916B6" w:rsidP="00360539">
            <w:pPr>
              <w:keepNext/>
              <w:keepLines/>
              <w:ind w:left="-320" w:firstLine="0"/>
              <w:contextualSpacing/>
              <w:jc w:val="center"/>
              <w:outlineLvl w:val="5"/>
            </w:pPr>
            <w:r w:rsidRPr="00360539">
              <w:t>2660±90</w:t>
            </w:r>
          </w:p>
        </w:tc>
        <w:tc>
          <w:tcPr>
            <w:tcW w:w="2069" w:type="dxa"/>
            <w:vAlign w:val="center"/>
          </w:tcPr>
          <w:p w14:paraId="4BC0A178" w14:textId="2637CED4" w:rsidR="00F916B6" w:rsidRPr="00360539" w:rsidRDefault="00F916B6" w:rsidP="00360539">
            <w:pPr>
              <w:keepNext/>
              <w:keepLines/>
              <w:ind w:left="-320" w:firstLine="0"/>
              <w:contextualSpacing/>
              <w:jc w:val="center"/>
              <w:outlineLvl w:val="5"/>
              <w:rPr>
                <w:lang w:val="en-US"/>
              </w:rPr>
            </w:pPr>
            <w:r w:rsidRPr="00360539">
              <w:t>27</w:t>
            </w:r>
            <w:r w:rsidRPr="00360539">
              <w:rPr>
                <w:lang w:val="en-US"/>
              </w:rPr>
              <w:t>44</w:t>
            </w:r>
            <w:r w:rsidRPr="00360539">
              <w:t>±</w:t>
            </w:r>
            <w:r w:rsidRPr="00360539">
              <w:rPr>
                <w:lang w:val="en-US"/>
              </w:rPr>
              <w:t>254</w:t>
            </w:r>
          </w:p>
        </w:tc>
      </w:tr>
      <w:tr w:rsidR="00610734" w:rsidRPr="00360539" w14:paraId="48B61027" w14:textId="77777777" w:rsidTr="00360539">
        <w:trPr>
          <w:trHeight w:val="828"/>
          <w:jc w:val="center"/>
        </w:trPr>
        <w:tc>
          <w:tcPr>
            <w:tcW w:w="1809" w:type="dxa"/>
            <w:vAlign w:val="center"/>
          </w:tcPr>
          <w:p w14:paraId="7821B87B" w14:textId="77777777" w:rsidR="00F916B6" w:rsidRPr="00360539" w:rsidRDefault="00F916B6" w:rsidP="00360539">
            <w:pPr>
              <w:keepNext/>
              <w:keepLines/>
              <w:ind w:left="-320" w:firstLine="0"/>
              <w:contextualSpacing/>
              <w:jc w:val="center"/>
              <w:outlineLvl w:val="5"/>
            </w:pPr>
            <w:r w:rsidRPr="00360539">
              <w:t>ЛУ-9185</w:t>
            </w:r>
          </w:p>
        </w:tc>
        <w:tc>
          <w:tcPr>
            <w:tcW w:w="1418" w:type="dxa"/>
            <w:vAlign w:val="center"/>
          </w:tcPr>
          <w:p w14:paraId="40AF3BA6" w14:textId="77777777" w:rsidR="00F916B6" w:rsidRPr="00360539" w:rsidRDefault="00F916B6" w:rsidP="00360539">
            <w:pPr>
              <w:keepNext/>
              <w:keepLines/>
              <w:ind w:left="-320" w:firstLine="0"/>
              <w:contextualSpacing/>
              <w:jc w:val="center"/>
              <w:outlineLvl w:val="5"/>
            </w:pPr>
            <w:r w:rsidRPr="00360539">
              <w:t>Р28/2018</w:t>
            </w:r>
          </w:p>
        </w:tc>
        <w:tc>
          <w:tcPr>
            <w:tcW w:w="1559" w:type="dxa"/>
            <w:vAlign w:val="center"/>
          </w:tcPr>
          <w:p w14:paraId="578193ED" w14:textId="77777777" w:rsidR="00F916B6" w:rsidRPr="00360539" w:rsidRDefault="00F916B6" w:rsidP="00360539">
            <w:pPr>
              <w:keepNext/>
              <w:keepLines/>
              <w:ind w:firstLine="0"/>
              <w:contextualSpacing/>
              <w:jc w:val="center"/>
              <w:outlineLvl w:val="5"/>
            </w:pPr>
            <w:r w:rsidRPr="00360539">
              <w:t xml:space="preserve">Подошва </w:t>
            </w:r>
            <w:proofErr w:type="spellStart"/>
            <w:r w:rsidRPr="00360539">
              <w:t>палеопочвы</w:t>
            </w:r>
            <w:proofErr w:type="spellEnd"/>
          </w:p>
          <w:p w14:paraId="1D90179D" w14:textId="5D85224C" w:rsidR="00F916B6" w:rsidRPr="00360539" w:rsidRDefault="00F916B6" w:rsidP="00360539">
            <w:pPr>
              <w:keepNext/>
              <w:keepLines/>
              <w:ind w:left="-320" w:firstLine="0"/>
              <w:contextualSpacing/>
              <w:jc w:val="center"/>
              <w:outlineLvl w:val="5"/>
            </w:pPr>
          </w:p>
        </w:tc>
        <w:tc>
          <w:tcPr>
            <w:tcW w:w="1559" w:type="dxa"/>
            <w:vAlign w:val="center"/>
          </w:tcPr>
          <w:p w14:paraId="3BE6A060" w14:textId="57765E9A" w:rsidR="00F916B6" w:rsidRPr="00360539" w:rsidRDefault="00F916B6" w:rsidP="00360539">
            <w:pPr>
              <w:keepNext/>
              <w:keepLines/>
              <w:ind w:firstLine="0"/>
              <w:contextualSpacing/>
              <w:jc w:val="center"/>
              <w:outlineLvl w:val="5"/>
            </w:pPr>
            <w:r w:rsidRPr="00360539">
              <w:t>Погребенная</w:t>
            </w:r>
          </w:p>
          <w:p w14:paraId="19A36183" w14:textId="052E1A1E" w:rsidR="00F916B6" w:rsidRPr="00360539" w:rsidRDefault="00F916B6" w:rsidP="00360539">
            <w:pPr>
              <w:keepNext/>
              <w:keepLines/>
              <w:ind w:left="-320" w:firstLine="0"/>
              <w:contextualSpacing/>
              <w:jc w:val="center"/>
              <w:outlineLvl w:val="5"/>
            </w:pPr>
            <w:r w:rsidRPr="00360539">
              <w:t>почва</w:t>
            </w:r>
          </w:p>
        </w:tc>
        <w:tc>
          <w:tcPr>
            <w:tcW w:w="2268" w:type="dxa"/>
            <w:vAlign w:val="center"/>
          </w:tcPr>
          <w:p w14:paraId="2BE0A1E1" w14:textId="77777777" w:rsidR="00F916B6" w:rsidRPr="00360539" w:rsidRDefault="00F916B6" w:rsidP="00360539">
            <w:pPr>
              <w:keepNext/>
              <w:keepLines/>
              <w:ind w:left="-320" w:firstLine="0"/>
              <w:contextualSpacing/>
              <w:jc w:val="center"/>
              <w:outlineLvl w:val="5"/>
            </w:pPr>
            <w:r w:rsidRPr="00360539">
              <w:t>6350±70</w:t>
            </w:r>
          </w:p>
        </w:tc>
        <w:tc>
          <w:tcPr>
            <w:tcW w:w="2069" w:type="dxa"/>
            <w:vAlign w:val="center"/>
          </w:tcPr>
          <w:p w14:paraId="582A0815" w14:textId="11D65894" w:rsidR="00F916B6" w:rsidRPr="00360539" w:rsidRDefault="00F916B6" w:rsidP="00360539">
            <w:pPr>
              <w:keepNext/>
              <w:keepLines/>
              <w:ind w:left="-320" w:firstLine="0"/>
              <w:contextualSpacing/>
              <w:jc w:val="center"/>
              <w:outlineLvl w:val="5"/>
              <w:rPr>
                <w:lang w:val="en-US"/>
              </w:rPr>
            </w:pPr>
            <w:r w:rsidRPr="00360539">
              <w:t>72</w:t>
            </w:r>
            <w:r w:rsidRPr="00360539">
              <w:rPr>
                <w:lang w:val="en-US"/>
              </w:rPr>
              <w:t>53</w:t>
            </w:r>
            <w:r w:rsidRPr="00360539">
              <w:t>±</w:t>
            </w:r>
            <w:r w:rsidRPr="00360539">
              <w:rPr>
                <w:lang w:val="en-US"/>
              </w:rPr>
              <w:t>174</w:t>
            </w:r>
          </w:p>
        </w:tc>
      </w:tr>
    </w:tbl>
    <w:p w14:paraId="26A1E870" w14:textId="2114CE88" w:rsidR="00D03829" w:rsidRDefault="008103D8">
      <w:pPr>
        <w:spacing w:after="0" w:line="276" w:lineRule="auto"/>
        <w:ind w:firstLine="0"/>
        <w:jc w:val="both"/>
        <w:rPr>
          <w:highlight w:val="green"/>
        </w:rPr>
      </w:pPr>
      <w:bookmarkStart w:id="8" w:name="_heading=h.oqklm5n7om2j" w:colFirst="0" w:colLast="0"/>
      <w:bookmarkEnd w:id="8"/>
      <w:r>
        <w:t xml:space="preserve">                     </w:t>
      </w:r>
    </w:p>
    <w:p w14:paraId="2C5ED001" w14:textId="77777777" w:rsidR="00D03829" w:rsidRPr="007A6772" w:rsidRDefault="008103D8">
      <w:pPr>
        <w:spacing w:after="0"/>
        <w:ind w:firstLine="700"/>
        <w:jc w:val="both"/>
        <w:rPr>
          <w:b/>
        </w:rPr>
      </w:pPr>
      <w:bookmarkStart w:id="9" w:name="_heading=h.drseksp6w47" w:colFirst="0" w:colLast="0"/>
      <w:bookmarkEnd w:id="9"/>
      <w:r w:rsidRPr="007A6772">
        <w:rPr>
          <w:b/>
        </w:rPr>
        <w:t>Список использованной литературы</w:t>
      </w:r>
    </w:p>
    <w:p w14:paraId="4C5E7C7F" w14:textId="77777777" w:rsidR="00D03829" w:rsidRDefault="008103D8">
      <w:pPr>
        <w:spacing w:after="0" w:line="392" w:lineRule="auto"/>
        <w:ind w:firstLine="700"/>
        <w:jc w:val="both"/>
      </w:pPr>
      <w:bookmarkStart w:id="10" w:name="_heading=h.2bhjzwibtdn2" w:colFirst="0" w:colLast="0"/>
      <w:bookmarkEnd w:id="10"/>
      <w:r w:rsidRPr="007A6772">
        <w:t xml:space="preserve">Арсланов Х.А. </w:t>
      </w:r>
      <w:proofErr w:type="spellStart"/>
      <w:r w:rsidRPr="007A6772">
        <w:t>Радиоуглерод</w:t>
      </w:r>
      <w:proofErr w:type="spellEnd"/>
      <w:r w:rsidRPr="007A6772">
        <w:t>: Геохимия и геохронология. Ленинград: ЛГУ, 1987. 300 c.</w:t>
      </w:r>
    </w:p>
    <w:p w14:paraId="5FDAEE93" w14:textId="77777777" w:rsidR="00D03829" w:rsidRDefault="008103D8">
      <w:pPr>
        <w:spacing w:after="0"/>
        <w:ind w:firstLine="700"/>
        <w:jc w:val="both"/>
        <w:rPr>
          <w:highlight w:val="white"/>
        </w:rPr>
      </w:pPr>
      <w:bookmarkStart w:id="11" w:name="_heading=h.7zn20jtiqg" w:colFirst="0" w:colLast="0"/>
      <w:bookmarkEnd w:id="11"/>
      <w:r>
        <w:rPr>
          <w:highlight w:val="white"/>
        </w:rPr>
        <w:t xml:space="preserve">Бычкова Я.В., Синицын, М.Ю., Петренко Д.Б., Николаева И.Ю., Бугаев И.А., Бычков А.Ю. Методические особенности многоэлементного анализа горных пород методом масс-спектрометрии с индуктивно связанной плазмой // </w:t>
      </w:r>
      <w:r>
        <w:t xml:space="preserve">Вестник Московского университета. </w:t>
      </w:r>
      <w:r>
        <w:rPr>
          <w:highlight w:val="white"/>
        </w:rPr>
        <w:t xml:space="preserve">2016. </w:t>
      </w:r>
      <w:r>
        <w:t>Геология</w:t>
      </w:r>
      <w:r>
        <w:rPr>
          <w:highlight w:val="white"/>
        </w:rPr>
        <w:t>. 6. 4. С. 56</w:t>
      </w:r>
      <w:r>
        <w:t>–</w:t>
      </w:r>
      <w:r>
        <w:rPr>
          <w:highlight w:val="white"/>
        </w:rPr>
        <w:t>63.</w:t>
      </w:r>
    </w:p>
    <w:p w14:paraId="6CFF6075" w14:textId="6F93F23D" w:rsidR="00D03829" w:rsidRPr="00E153EE" w:rsidRDefault="008103D8">
      <w:pPr>
        <w:spacing w:after="0"/>
        <w:ind w:firstLine="700"/>
        <w:jc w:val="both"/>
      </w:pPr>
      <w:bookmarkStart w:id="12" w:name="_heading=h.6btjq9rmoay" w:colFirst="0" w:colLast="0"/>
      <w:bookmarkEnd w:id="12"/>
      <w:r>
        <w:rPr>
          <w:highlight w:val="white"/>
        </w:rPr>
        <w:t xml:space="preserve">Методика количественного химического анализа. Определение примесных элементов в образцах </w:t>
      </w:r>
      <w:proofErr w:type="spellStart"/>
      <w:r>
        <w:rPr>
          <w:highlight w:val="white"/>
        </w:rPr>
        <w:t>Be</w:t>
      </w:r>
      <w:proofErr w:type="spellEnd"/>
      <w:r>
        <w:rPr>
          <w:highlight w:val="white"/>
        </w:rPr>
        <w:t xml:space="preserve">, </w:t>
      </w:r>
      <w:proofErr w:type="spellStart"/>
      <w:r>
        <w:rPr>
          <w:highlight w:val="white"/>
        </w:rPr>
        <w:t>Mg</w:t>
      </w:r>
      <w:proofErr w:type="spellEnd"/>
      <w:r>
        <w:rPr>
          <w:highlight w:val="white"/>
        </w:rPr>
        <w:t xml:space="preserve">, </w:t>
      </w:r>
      <w:proofErr w:type="spellStart"/>
      <w:r>
        <w:rPr>
          <w:highlight w:val="white"/>
        </w:rPr>
        <w:t>Al</w:t>
      </w:r>
      <w:proofErr w:type="spellEnd"/>
      <w:r>
        <w:rPr>
          <w:highlight w:val="white"/>
        </w:rPr>
        <w:t xml:space="preserve">, </w:t>
      </w:r>
      <w:proofErr w:type="spellStart"/>
      <w:r>
        <w:rPr>
          <w:highlight w:val="white"/>
        </w:rPr>
        <w:t>Si</w:t>
      </w:r>
      <w:proofErr w:type="spellEnd"/>
      <w:r>
        <w:rPr>
          <w:highlight w:val="white"/>
        </w:rPr>
        <w:t xml:space="preserve">, </w:t>
      </w:r>
      <w:proofErr w:type="spellStart"/>
      <w:r>
        <w:rPr>
          <w:highlight w:val="white"/>
        </w:rPr>
        <w:t>Ca</w:t>
      </w:r>
      <w:proofErr w:type="spellEnd"/>
      <w:r>
        <w:rPr>
          <w:highlight w:val="white"/>
        </w:rPr>
        <w:t xml:space="preserve">, </w:t>
      </w:r>
      <w:proofErr w:type="spellStart"/>
      <w:r>
        <w:rPr>
          <w:highlight w:val="white"/>
        </w:rPr>
        <w:t>Sc</w:t>
      </w:r>
      <w:proofErr w:type="spellEnd"/>
      <w:r>
        <w:rPr>
          <w:highlight w:val="white"/>
        </w:rPr>
        <w:t xml:space="preserve">, </w:t>
      </w:r>
      <w:proofErr w:type="spellStart"/>
      <w:r>
        <w:rPr>
          <w:highlight w:val="white"/>
        </w:rPr>
        <w:t>Ti</w:t>
      </w:r>
      <w:proofErr w:type="spellEnd"/>
      <w:r>
        <w:rPr>
          <w:highlight w:val="white"/>
        </w:rPr>
        <w:t xml:space="preserve">, V, </w:t>
      </w:r>
      <w:proofErr w:type="spellStart"/>
      <w:r>
        <w:rPr>
          <w:highlight w:val="white"/>
        </w:rPr>
        <w:t>Cr</w:t>
      </w:r>
      <w:proofErr w:type="spellEnd"/>
      <w:r>
        <w:rPr>
          <w:highlight w:val="white"/>
        </w:rPr>
        <w:t xml:space="preserve">, </w:t>
      </w:r>
      <w:proofErr w:type="spellStart"/>
      <w:r>
        <w:rPr>
          <w:highlight w:val="white"/>
        </w:rPr>
        <w:t>Mn</w:t>
      </w:r>
      <w:proofErr w:type="spellEnd"/>
      <w:r>
        <w:rPr>
          <w:highlight w:val="white"/>
        </w:rPr>
        <w:t xml:space="preserve">, </w:t>
      </w:r>
      <w:proofErr w:type="spellStart"/>
      <w:r>
        <w:rPr>
          <w:highlight w:val="white"/>
        </w:rPr>
        <w:t>Fe</w:t>
      </w:r>
      <w:proofErr w:type="spellEnd"/>
      <w:r>
        <w:rPr>
          <w:highlight w:val="white"/>
        </w:rPr>
        <w:t xml:space="preserve">, </w:t>
      </w:r>
      <w:proofErr w:type="spellStart"/>
      <w:r>
        <w:rPr>
          <w:highlight w:val="white"/>
        </w:rPr>
        <w:t>Co</w:t>
      </w:r>
      <w:proofErr w:type="spellEnd"/>
      <w:r>
        <w:rPr>
          <w:highlight w:val="white"/>
        </w:rPr>
        <w:t xml:space="preserve">, </w:t>
      </w:r>
      <w:proofErr w:type="spellStart"/>
      <w:r>
        <w:rPr>
          <w:highlight w:val="white"/>
        </w:rPr>
        <w:t>Ni</w:t>
      </w:r>
      <w:proofErr w:type="spellEnd"/>
      <w:r>
        <w:rPr>
          <w:highlight w:val="white"/>
        </w:rPr>
        <w:t xml:space="preserve">, </w:t>
      </w:r>
      <w:proofErr w:type="spellStart"/>
      <w:r>
        <w:rPr>
          <w:highlight w:val="white"/>
        </w:rPr>
        <w:t>Cu</w:t>
      </w:r>
      <w:proofErr w:type="spellEnd"/>
      <w:r>
        <w:rPr>
          <w:highlight w:val="white"/>
        </w:rPr>
        <w:t xml:space="preserve">, </w:t>
      </w:r>
      <w:proofErr w:type="spellStart"/>
      <w:r>
        <w:rPr>
          <w:highlight w:val="white"/>
        </w:rPr>
        <w:t>Zn</w:t>
      </w:r>
      <w:proofErr w:type="spellEnd"/>
      <w:r>
        <w:rPr>
          <w:highlight w:val="white"/>
        </w:rPr>
        <w:t xml:space="preserve">, </w:t>
      </w:r>
      <w:proofErr w:type="spellStart"/>
      <w:r>
        <w:rPr>
          <w:highlight w:val="white"/>
        </w:rPr>
        <w:t>Ga</w:t>
      </w:r>
      <w:proofErr w:type="spellEnd"/>
      <w:r>
        <w:rPr>
          <w:highlight w:val="white"/>
        </w:rPr>
        <w:t xml:space="preserve">, </w:t>
      </w:r>
      <w:proofErr w:type="spellStart"/>
      <w:r>
        <w:rPr>
          <w:highlight w:val="white"/>
        </w:rPr>
        <w:t>As</w:t>
      </w:r>
      <w:proofErr w:type="spellEnd"/>
      <w:r>
        <w:rPr>
          <w:highlight w:val="white"/>
        </w:rPr>
        <w:t xml:space="preserve">, </w:t>
      </w:r>
      <w:proofErr w:type="spellStart"/>
      <w:r>
        <w:rPr>
          <w:highlight w:val="white"/>
        </w:rPr>
        <w:t>Se</w:t>
      </w:r>
      <w:proofErr w:type="spellEnd"/>
      <w:r>
        <w:rPr>
          <w:highlight w:val="white"/>
        </w:rPr>
        <w:t xml:space="preserve">, </w:t>
      </w:r>
      <w:proofErr w:type="spellStart"/>
      <w:r>
        <w:rPr>
          <w:highlight w:val="white"/>
        </w:rPr>
        <w:t>Sr</w:t>
      </w:r>
      <w:proofErr w:type="spellEnd"/>
      <w:r>
        <w:rPr>
          <w:highlight w:val="white"/>
        </w:rPr>
        <w:t xml:space="preserve">, Y, </w:t>
      </w:r>
      <w:proofErr w:type="spellStart"/>
      <w:r>
        <w:rPr>
          <w:highlight w:val="white"/>
        </w:rPr>
        <w:t>Zr</w:t>
      </w:r>
      <w:proofErr w:type="spellEnd"/>
      <w:r>
        <w:rPr>
          <w:highlight w:val="white"/>
        </w:rPr>
        <w:t xml:space="preserve">, </w:t>
      </w:r>
      <w:proofErr w:type="spellStart"/>
      <w:r>
        <w:rPr>
          <w:highlight w:val="white"/>
        </w:rPr>
        <w:t>Nb</w:t>
      </w:r>
      <w:proofErr w:type="spellEnd"/>
      <w:r>
        <w:rPr>
          <w:highlight w:val="white"/>
        </w:rPr>
        <w:t xml:space="preserve">, </w:t>
      </w:r>
      <w:proofErr w:type="spellStart"/>
      <w:r>
        <w:rPr>
          <w:highlight w:val="white"/>
        </w:rPr>
        <w:t>Mo</w:t>
      </w:r>
      <w:proofErr w:type="spellEnd"/>
      <w:r>
        <w:rPr>
          <w:highlight w:val="white"/>
        </w:rPr>
        <w:t xml:space="preserve">, </w:t>
      </w:r>
      <w:proofErr w:type="spellStart"/>
      <w:r>
        <w:rPr>
          <w:highlight w:val="white"/>
        </w:rPr>
        <w:t>Pd</w:t>
      </w:r>
      <w:proofErr w:type="spellEnd"/>
      <w:r>
        <w:rPr>
          <w:highlight w:val="white"/>
        </w:rPr>
        <w:t xml:space="preserve">, </w:t>
      </w:r>
      <w:proofErr w:type="spellStart"/>
      <w:r>
        <w:rPr>
          <w:highlight w:val="white"/>
        </w:rPr>
        <w:t>Ag</w:t>
      </w:r>
      <w:proofErr w:type="spellEnd"/>
      <w:r>
        <w:rPr>
          <w:highlight w:val="white"/>
        </w:rPr>
        <w:t xml:space="preserve">, </w:t>
      </w:r>
      <w:proofErr w:type="spellStart"/>
      <w:r>
        <w:rPr>
          <w:highlight w:val="white"/>
        </w:rPr>
        <w:t>Cd</w:t>
      </w:r>
      <w:proofErr w:type="spellEnd"/>
      <w:r>
        <w:rPr>
          <w:highlight w:val="white"/>
        </w:rPr>
        <w:t xml:space="preserve">, </w:t>
      </w:r>
      <w:proofErr w:type="spellStart"/>
      <w:r>
        <w:rPr>
          <w:highlight w:val="white"/>
        </w:rPr>
        <w:t>In</w:t>
      </w:r>
      <w:proofErr w:type="spellEnd"/>
      <w:r>
        <w:rPr>
          <w:highlight w:val="white"/>
        </w:rPr>
        <w:t xml:space="preserve">, </w:t>
      </w:r>
      <w:proofErr w:type="spellStart"/>
      <w:r>
        <w:rPr>
          <w:highlight w:val="white"/>
        </w:rPr>
        <w:t>Sn</w:t>
      </w:r>
      <w:proofErr w:type="spellEnd"/>
      <w:r>
        <w:rPr>
          <w:highlight w:val="white"/>
        </w:rPr>
        <w:t xml:space="preserve">, </w:t>
      </w:r>
      <w:proofErr w:type="spellStart"/>
      <w:r>
        <w:rPr>
          <w:highlight w:val="white"/>
        </w:rPr>
        <w:t>Sb</w:t>
      </w:r>
      <w:proofErr w:type="spellEnd"/>
      <w:r>
        <w:rPr>
          <w:highlight w:val="white"/>
        </w:rPr>
        <w:t xml:space="preserve">, </w:t>
      </w:r>
      <w:proofErr w:type="spellStart"/>
      <w:r>
        <w:rPr>
          <w:highlight w:val="white"/>
        </w:rPr>
        <w:t>Te</w:t>
      </w:r>
      <w:proofErr w:type="spellEnd"/>
      <w:r>
        <w:rPr>
          <w:highlight w:val="white"/>
        </w:rPr>
        <w:t xml:space="preserve">, </w:t>
      </w:r>
      <w:proofErr w:type="spellStart"/>
      <w:r>
        <w:rPr>
          <w:highlight w:val="white"/>
        </w:rPr>
        <w:t>Ba</w:t>
      </w:r>
      <w:proofErr w:type="spellEnd"/>
      <w:r>
        <w:rPr>
          <w:highlight w:val="white"/>
        </w:rPr>
        <w:t xml:space="preserve">, </w:t>
      </w:r>
      <w:proofErr w:type="spellStart"/>
      <w:r>
        <w:rPr>
          <w:highlight w:val="white"/>
        </w:rPr>
        <w:t>La</w:t>
      </w:r>
      <w:proofErr w:type="spellEnd"/>
      <w:r>
        <w:rPr>
          <w:highlight w:val="white"/>
        </w:rPr>
        <w:t xml:space="preserve"> и других РЗЭ, </w:t>
      </w:r>
      <w:proofErr w:type="spellStart"/>
      <w:r>
        <w:rPr>
          <w:highlight w:val="white"/>
        </w:rPr>
        <w:t>Hf</w:t>
      </w:r>
      <w:proofErr w:type="spellEnd"/>
      <w:r>
        <w:rPr>
          <w:highlight w:val="white"/>
        </w:rPr>
        <w:t xml:space="preserve">, </w:t>
      </w:r>
      <w:proofErr w:type="spellStart"/>
      <w:r>
        <w:rPr>
          <w:highlight w:val="white"/>
        </w:rPr>
        <w:t>Ta</w:t>
      </w:r>
      <w:proofErr w:type="spellEnd"/>
      <w:r>
        <w:rPr>
          <w:highlight w:val="white"/>
        </w:rPr>
        <w:t xml:space="preserve">, W, </w:t>
      </w:r>
      <w:proofErr w:type="spellStart"/>
      <w:r>
        <w:rPr>
          <w:highlight w:val="white"/>
        </w:rPr>
        <w:t>Re</w:t>
      </w:r>
      <w:proofErr w:type="spellEnd"/>
      <w:r>
        <w:rPr>
          <w:highlight w:val="white"/>
        </w:rPr>
        <w:t xml:space="preserve">, </w:t>
      </w:r>
      <w:proofErr w:type="spellStart"/>
      <w:r>
        <w:rPr>
          <w:highlight w:val="white"/>
        </w:rPr>
        <w:t>Os</w:t>
      </w:r>
      <w:proofErr w:type="spellEnd"/>
      <w:r>
        <w:rPr>
          <w:highlight w:val="white"/>
        </w:rPr>
        <w:t xml:space="preserve">, </w:t>
      </w:r>
      <w:proofErr w:type="spellStart"/>
      <w:r>
        <w:rPr>
          <w:highlight w:val="white"/>
        </w:rPr>
        <w:t>Pb</w:t>
      </w:r>
      <w:proofErr w:type="spellEnd"/>
      <w:r>
        <w:rPr>
          <w:highlight w:val="white"/>
        </w:rPr>
        <w:t xml:space="preserve">, </w:t>
      </w:r>
      <w:proofErr w:type="spellStart"/>
      <w:r>
        <w:rPr>
          <w:highlight w:val="white"/>
        </w:rPr>
        <w:t>Th</w:t>
      </w:r>
      <w:proofErr w:type="spellEnd"/>
      <w:r>
        <w:rPr>
          <w:highlight w:val="white"/>
        </w:rPr>
        <w:t xml:space="preserve"> и U, а также в образцах их оксидов и солей методом ИМП-МС (Методика НСАМ № 501-МС) // Отраслевая методика III категории точности. М</w:t>
      </w:r>
      <w:r w:rsidRPr="00E153EE">
        <w:rPr>
          <w:highlight w:val="white"/>
        </w:rPr>
        <w:t xml:space="preserve">.: </w:t>
      </w:r>
      <w:r>
        <w:rPr>
          <w:highlight w:val="white"/>
        </w:rPr>
        <w:t>РИС</w:t>
      </w:r>
      <w:r w:rsidRPr="00E153EE">
        <w:rPr>
          <w:highlight w:val="white"/>
        </w:rPr>
        <w:t xml:space="preserve"> «</w:t>
      </w:r>
      <w:r>
        <w:rPr>
          <w:highlight w:val="white"/>
        </w:rPr>
        <w:t>ВИМС</w:t>
      </w:r>
      <w:r w:rsidRPr="00E153EE">
        <w:rPr>
          <w:highlight w:val="white"/>
        </w:rPr>
        <w:t>».</w:t>
      </w:r>
      <w:r w:rsidRPr="00E153EE">
        <w:t xml:space="preserve"> 2011. 36 </w:t>
      </w:r>
      <w:r>
        <w:t>с</w:t>
      </w:r>
      <w:r w:rsidRPr="00E153EE">
        <w:t>.</w:t>
      </w:r>
    </w:p>
    <w:p w14:paraId="19C10214" w14:textId="00F967B1" w:rsidR="005650A7" w:rsidRDefault="005650A7" w:rsidP="005650A7">
      <w:pPr>
        <w:jc w:val="both"/>
      </w:pPr>
      <w:proofErr w:type="spellStart"/>
      <w:r>
        <w:t>Канакин</w:t>
      </w:r>
      <w:proofErr w:type="spellEnd"/>
      <w:r>
        <w:t xml:space="preserve"> С.В. Программа документирования результатов РСМА для INCAENERGY // VII Всероссийская конференция по рентгеноспектральному анализу: тезисы докладов (Новосибирск, 19—23 сентября 2011 г.). Новосибирск</w:t>
      </w:r>
      <w:r w:rsidRPr="00E153EE">
        <w:rPr>
          <w:lang w:val="en-US"/>
        </w:rPr>
        <w:t xml:space="preserve">, </w:t>
      </w:r>
      <w:r>
        <w:t>с</w:t>
      </w:r>
      <w:r w:rsidRPr="00E153EE">
        <w:rPr>
          <w:lang w:val="en-US"/>
        </w:rPr>
        <w:t>. 57.</w:t>
      </w:r>
    </w:p>
    <w:p w14:paraId="0FAE2879" w14:textId="081C4AFB" w:rsidR="005B5859" w:rsidRPr="004C3EAD" w:rsidRDefault="005B5859" w:rsidP="005650A7">
      <w:pPr>
        <w:jc w:val="both"/>
        <w:rPr>
          <w:lang w:val="en-US"/>
        </w:rPr>
      </w:pPr>
      <w:proofErr w:type="spellStart"/>
      <w:r w:rsidRPr="007A6772">
        <w:rPr>
          <w:lang w:val="en-US"/>
        </w:rPr>
        <w:t>Bronk</w:t>
      </w:r>
      <w:proofErr w:type="spellEnd"/>
      <w:r w:rsidRPr="007A6772">
        <w:rPr>
          <w:lang w:val="en-US"/>
        </w:rPr>
        <w:t xml:space="preserve"> Ramsey C. </w:t>
      </w:r>
      <w:proofErr w:type="spellStart"/>
      <w:r w:rsidRPr="007A6772">
        <w:rPr>
          <w:lang w:val="en-US"/>
        </w:rPr>
        <w:t>OxCal</w:t>
      </w:r>
      <w:proofErr w:type="spellEnd"/>
      <w:r w:rsidRPr="007A6772">
        <w:rPr>
          <w:lang w:val="en-US"/>
        </w:rPr>
        <w:t xml:space="preserve"> 4.4. 4 calibration program // Website: https://c14. </w:t>
      </w:r>
      <w:proofErr w:type="gramStart"/>
      <w:r w:rsidRPr="007A6772">
        <w:rPr>
          <w:lang w:val="en-US"/>
        </w:rPr>
        <w:t>arch</w:t>
      </w:r>
      <w:proofErr w:type="gramEnd"/>
      <w:r w:rsidRPr="007A6772">
        <w:rPr>
          <w:lang w:val="en-US"/>
        </w:rPr>
        <w:t xml:space="preserve">. </w:t>
      </w:r>
      <w:proofErr w:type="gramStart"/>
      <w:r w:rsidRPr="007A6772">
        <w:rPr>
          <w:lang w:val="en-US"/>
        </w:rPr>
        <w:t>ox</w:t>
      </w:r>
      <w:proofErr w:type="gramEnd"/>
      <w:r w:rsidRPr="007A6772">
        <w:rPr>
          <w:lang w:val="en-US"/>
        </w:rPr>
        <w:t xml:space="preserve">. </w:t>
      </w:r>
      <w:proofErr w:type="gramStart"/>
      <w:r w:rsidRPr="007A6772">
        <w:rPr>
          <w:lang w:val="en-US"/>
        </w:rPr>
        <w:t>ac</w:t>
      </w:r>
      <w:proofErr w:type="gramEnd"/>
      <w:r w:rsidRPr="007A6772">
        <w:rPr>
          <w:lang w:val="en-US"/>
        </w:rPr>
        <w:t xml:space="preserve">. </w:t>
      </w:r>
      <w:proofErr w:type="spellStart"/>
      <w:r w:rsidRPr="007A6772">
        <w:rPr>
          <w:lang w:val="en-US"/>
        </w:rPr>
        <w:t>uk</w:t>
      </w:r>
      <w:proofErr w:type="spellEnd"/>
      <w:r w:rsidRPr="007A6772">
        <w:rPr>
          <w:lang w:val="en-US"/>
        </w:rPr>
        <w:t>/</w:t>
      </w:r>
      <w:proofErr w:type="spellStart"/>
      <w:r w:rsidRPr="007A6772">
        <w:rPr>
          <w:lang w:val="en-US"/>
        </w:rPr>
        <w:t>oxcal</w:t>
      </w:r>
      <w:proofErr w:type="spellEnd"/>
      <w:r w:rsidRPr="007A6772">
        <w:rPr>
          <w:lang w:val="en-US"/>
        </w:rPr>
        <w:t>/</w:t>
      </w:r>
      <w:proofErr w:type="spellStart"/>
      <w:r w:rsidRPr="007A6772">
        <w:rPr>
          <w:lang w:val="en-US"/>
        </w:rPr>
        <w:t>OxCal</w:t>
      </w:r>
      <w:proofErr w:type="spellEnd"/>
      <w:r w:rsidRPr="007A6772">
        <w:rPr>
          <w:lang w:val="en-US"/>
        </w:rPr>
        <w:t xml:space="preserve">. </w:t>
      </w:r>
      <w:proofErr w:type="gramStart"/>
      <w:r w:rsidRPr="007A6772">
        <w:rPr>
          <w:lang w:val="en-US"/>
        </w:rPr>
        <w:t>html</w:t>
      </w:r>
      <w:proofErr w:type="gramEnd"/>
      <w:r w:rsidRPr="007A6772">
        <w:rPr>
          <w:lang w:val="en-US"/>
        </w:rPr>
        <w:t>. 2021.</w:t>
      </w:r>
    </w:p>
    <w:p w14:paraId="36CFB32E" w14:textId="76B9A8D9" w:rsidR="00D03829" w:rsidRPr="00224760" w:rsidRDefault="008103D8">
      <w:pPr>
        <w:spacing w:after="0"/>
        <w:ind w:firstLine="700"/>
        <w:jc w:val="both"/>
        <w:rPr>
          <w:color w:val="222222"/>
          <w:highlight w:val="white"/>
          <w:lang w:val="en-US"/>
        </w:rPr>
      </w:pPr>
      <w:bookmarkStart w:id="13" w:name="_heading=h.5tauvy20plcq" w:colFirst="0" w:colLast="0"/>
      <w:bookmarkStart w:id="14" w:name="_heading=h.lk54vtigbtsy" w:colFirst="0" w:colLast="0"/>
      <w:bookmarkEnd w:id="13"/>
      <w:bookmarkEnd w:id="14"/>
      <w:proofErr w:type="spellStart"/>
      <w:r w:rsidRPr="00224760">
        <w:rPr>
          <w:color w:val="222222"/>
          <w:highlight w:val="white"/>
          <w:lang w:val="en-US"/>
        </w:rPr>
        <w:t>Jarosewich</w:t>
      </w:r>
      <w:proofErr w:type="spellEnd"/>
      <w:r w:rsidRPr="00224760">
        <w:rPr>
          <w:color w:val="222222"/>
          <w:highlight w:val="white"/>
          <w:lang w:val="en-US"/>
        </w:rPr>
        <w:t xml:space="preserve"> E., </w:t>
      </w:r>
      <w:proofErr w:type="spellStart"/>
      <w:r w:rsidRPr="00224760">
        <w:rPr>
          <w:color w:val="222222"/>
          <w:highlight w:val="white"/>
          <w:lang w:val="en-US"/>
        </w:rPr>
        <w:t>Nelen</w:t>
      </w:r>
      <w:proofErr w:type="spellEnd"/>
      <w:r w:rsidRPr="00224760">
        <w:rPr>
          <w:color w:val="222222"/>
          <w:highlight w:val="white"/>
          <w:lang w:val="en-US"/>
        </w:rPr>
        <w:t xml:space="preserve"> J. A., Norberg J. A. Reference samples for electron microprobe analysis //</w:t>
      </w:r>
      <w:r w:rsidR="005650A7">
        <w:rPr>
          <w:color w:val="222222"/>
          <w:highlight w:val="white"/>
          <w:lang w:val="en-US"/>
        </w:rPr>
        <w:t xml:space="preserve"> </w:t>
      </w:r>
      <w:proofErr w:type="spellStart"/>
      <w:r w:rsidRPr="00224760">
        <w:rPr>
          <w:color w:val="222222"/>
          <w:highlight w:val="white"/>
          <w:lang w:val="en-US"/>
        </w:rPr>
        <w:t>Geostandards</w:t>
      </w:r>
      <w:proofErr w:type="spellEnd"/>
      <w:r w:rsidRPr="00224760">
        <w:rPr>
          <w:color w:val="222222"/>
          <w:highlight w:val="white"/>
          <w:lang w:val="en-US"/>
        </w:rPr>
        <w:t xml:space="preserve"> Newsletter. 1980. 4. 1. p. 43-47.</w:t>
      </w:r>
    </w:p>
    <w:p w14:paraId="5919C89F" w14:textId="77777777" w:rsidR="00D03829" w:rsidRPr="00224760" w:rsidRDefault="008103D8">
      <w:pPr>
        <w:spacing w:after="0"/>
        <w:ind w:firstLine="700"/>
        <w:jc w:val="both"/>
        <w:rPr>
          <w:color w:val="222222"/>
          <w:highlight w:val="white"/>
          <w:lang w:val="en-US"/>
        </w:rPr>
      </w:pPr>
      <w:bookmarkStart w:id="15" w:name="_heading=h.oo4vvnth3m82" w:colFirst="0" w:colLast="0"/>
      <w:bookmarkEnd w:id="15"/>
      <w:proofErr w:type="spellStart"/>
      <w:r w:rsidRPr="00224760">
        <w:rPr>
          <w:lang w:val="en-US"/>
        </w:rPr>
        <w:t>GeoRem</w:t>
      </w:r>
      <w:proofErr w:type="spellEnd"/>
      <w:r w:rsidRPr="00224760">
        <w:rPr>
          <w:lang w:val="en-US"/>
        </w:rPr>
        <w:t>. http://georem.mpch-mainz.gwdg.de/sample_query.asp</w:t>
      </w:r>
    </w:p>
    <w:p w14:paraId="4D325E97" w14:textId="77777777" w:rsidR="00D03829" w:rsidRPr="00224760" w:rsidRDefault="008103D8">
      <w:pPr>
        <w:spacing w:after="0"/>
        <w:ind w:firstLine="700"/>
        <w:jc w:val="both"/>
        <w:rPr>
          <w:lang w:val="en-US"/>
        </w:rPr>
      </w:pPr>
      <w:bookmarkStart w:id="16" w:name="_heading=h.t9cl8tne7mim" w:colFirst="0" w:colLast="0"/>
      <w:bookmarkEnd w:id="16"/>
      <w:r w:rsidRPr="00224760">
        <w:rPr>
          <w:color w:val="222222"/>
          <w:highlight w:val="white"/>
          <w:lang w:val="en-US"/>
        </w:rPr>
        <w:t>Morgan G. B., London D. Effect of current density on the electron microprobe analysis of alkali aluminosilicate glasses // American Mineralogist. 2005. 90. 7. p. 1131-1138.</w:t>
      </w:r>
    </w:p>
    <w:p w14:paraId="2063B71A" w14:textId="7CDE4994" w:rsidR="00D03829" w:rsidRPr="00224760" w:rsidRDefault="005650A7">
      <w:pPr>
        <w:spacing w:after="0"/>
        <w:ind w:firstLine="700"/>
        <w:jc w:val="both"/>
        <w:rPr>
          <w:color w:val="1155CC"/>
          <w:u w:val="single"/>
          <w:lang w:val="en-US"/>
        </w:rPr>
      </w:pPr>
      <w:bookmarkStart w:id="17" w:name="_heading=h.9wpts1ka63cu" w:colFirst="0" w:colLast="0"/>
      <w:bookmarkEnd w:id="17"/>
      <w:proofErr w:type="spellStart"/>
      <w:r>
        <w:rPr>
          <w:lang w:val="en-US"/>
        </w:rPr>
        <w:t>O</w:t>
      </w:r>
      <w:r w:rsidR="008103D8" w:rsidRPr="00224760">
        <w:rPr>
          <w:lang w:val="en-US"/>
        </w:rPr>
        <w:t>kina</w:t>
      </w:r>
      <w:proofErr w:type="spellEnd"/>
      <w:r w:rsidR="008103D8" w:rsidRPr="00224760">
        <w:rPr>
          <w:lang w:val="en-US"/>
        </w:rPr>
        <w:t xml:space="preserve"> O., Lyapunov S., </w:t>
      </w:r>
      <w:proofErr w:type="spellStart"/>
      <w:r w:rsidR="008103D8" w:rsidRPr="00224760">
        <w:rPr>
          <w:lang w:val="en-US"/>
        </w:rPr>
        <w:t>Avdosyeva</w:t>
      </w:r>
      <w:proofErr w:type="spellEnd"/>
      <w:r w:rsidR="008103D8" w:rsidRPr="00224760">
        <w:rPr>
          <w:lang w:val="en-US"/>
        </w:rPr>
        <w:t xml:space="preserve"> M., </w:t>
      </w:r>
      <w:proofErr w:type="spellStart"/>
      <w:r w:rsidR="008103D8" w:rsidRPr="00224760">
        <w:rPr>
          <w:lang w:val="en-US"/>
        </w:rPr>
        <w:t>Ermolaev</w:t>
      </w:r>
      <w:proofErr w:type="spellEnd"/>
      <w:r w:rsidR="008103D8" w:rsidRPr="00224760">
        <w:rPr>
          <w:lang w:val="en-US"/>
        </w:rPr>
        <w:t xml:space="preserve"> B., </w:t>
      </w:r>
      <w:proofErr w:type="spellStart"/>
      <w:r w:rsidR="008103D8" w:rsidRPr="00224760">
        <w:rPr>
          <w:lang w:val="en-US"/>
        </w:rPr>
        <w:t>Golubchikov</w:t>
      </w:r>
      <w:proofErr w:type="spellEnd"/>
      <w:r w:rsidR="008103D8" w:rsidRPr="00224760">
        <w:rPr>
          <w:lang w:val="en-US"/>
        </w:rPr>
        <w:t xml:space="preserve"> V., </w:t>
      </w:r>
      <w:proofErr w:type="spellStart"/>
      <w:r w:rsidR="008103D8" w:rsidRPr="00224760">
        <w:rPr>
          <w:lang w:val="en-US"/>
        </w:rPr>
        <w:t>Gorbunov</w:t>
      </w:r>
      <w:proofErr w:type="spellEnd"/>
      <w:r w:rsidR="008103D8" w:rsidRPr="00224760">
        <w:rPr>
          <w:lang w:val="en-US"/>
        </w:rPr>
        <w:t xml:space="preserve"> A., </w:t>
      </w:r>
      <w:proofErr w:type="spellStart"/>
      <w:r w:rsidR="008103D8" w:rsidRPr="00224760">
        <w:rPr>
          <w:lang w:val="en-US"/>
        </w:rPr>
        <w:t>Sheshukov</w:t>
      </w:r>
      <w:proofErr w:type="spellEnd"/>
      <w:r w:rsidR="008103D8" w:rsidRPr="00224760">
        <w:rPr>
          <w:lang w:val="en-US"/>
        </w:rPr>
        <w:t xml:space="preserve"> V. An Investigation of the Reliability of HF Acid Mixtures in the Bomb Digestion of Silicate Rocks for the </w:t>
      </w:r>
      <w:r w:rsidR="008103D8" w:rsidRPr="00224760">
        <w:rPr>
          <w:lang w:val="en-US"/>
        </w:rPr>
        <w:lastRenderedPageBreak/>
        <w:t xml:space="preserve">Determination of Trace Elements by ICP-MS // </w:t>
      </w:r>
      <w:proofErr w:type="spellStart"/>
      <w:r w:rsidR="008103D8" w:rsidRPr="00224760">
        <w:rPr>
          <w:lang w:val="en-US"/>
        </w:rPr>
        <w:t>Geostand</w:t>
      </w:r>
      <w:proofErr w:type="spellEnd"/>
      <w:r w:rsidR="008103D8" w:rsidRPr="00224760">
        <w:rPr>
          <w:lang w:val="en-US"/>
        </w:rPr>
        <w:t xml:space="preserve">. </w:t>
      </w:r>
      <w:proofErr w:type="spellStart"/>
      <w:r w:rsidR="008103D8" w:rsidRPr="00224760">
        <w:rPr>
          <w:lang w:val="en-US"/>
        </w:rPr>
        <w:t>Geoanal</w:t>
      </w:r>
      <w:proofErr w:type="spellEnd"/>
      <w:r w:rsidR="008103D8" w:rsidRPr="00224760">
        <w:rPr>
          <w:lang w:val="en-US"/>
        </w:rPr>
        <w:t xml:space="preserve">. Res. 2016. Vol. 40. </w:t>
      </w:r>
      <w:proofErr w:type="spellStart"/>
      <w:r w:rsidR="008103D8" w:rsidRPr="00224760">
        <w:rPr>
          <w:lang w:val="en-US"/>
        </w:rPr>
        <w:t>Iss</w:t>
      </w:r>
      <w:proofErr w:type="spellEnd"/>
      <w:r w:rsidR="008103D8" w:rsidRPr="00224760">
        <w:rPr>
          <w:lang w:val="en-US"/>
        </w:rPr>
        <w:t xml:space="preserve">. 4. p. 583–597. </w:t>
      </w:r>
      <w:hyperlink r:id="rId8">
        <w:r w:rsidR="008103D8" w:rsidRPr="00224760">
          <w:rPr>
            <w:color w:val="1155CC"/>
            <w:u w:val="single"/>
            <w:lang w:val="en-US"/>
          </w:rPr>
          <w:t>https://doi.org/10.1111/ggr.12124</w:t>
        </w:r>
      </w:hyperlink>
    </w:p>
    <w:p w14:paraId="2C7417AB" w14:textId="77777777" w:rsidR="00D03829" w:rsidRPr="007A6772" w:rsidRDefault="008103D8">
      <w:pPr>
        <w:spacing w:after="0" w:line="392" w:lineRule="auto"/>
        <w:ind w:firstLine="700"/>
        <w:jc w:val="both"/>
        <w:rPr>
          <w:lang w:val="en-US"/>
        </w:rPr>
      </w:pPr>
      <w:bookmarkStart w:id="18" w:name="_heading=h.v6pzwuaahfkw" w:colFirst="0" w:colLast="0"/>
      <w:bookmarkEnd w:id="18"/>
      <w:r w:rsidRPr="007A6772">
        <w:rPr>
          <w:lang w:val="en-US"/>
        </w:rPr>
        <w:t xml:space="preserve">Reimer P., Austin WEN, Bard E., </w:t>
      </w:r>
      <w:proofErr w:type="spellStart"/>
      <w:r w:rsidRPr="007A6772">
        <w:rPr>
          <w:lang w:val="en-US"/>
        </w:rPr>
        <w:t>Bayliss</w:t>
      </w:r>
      <w:proofErr w:type="spellEnd"/>
      <w:r w:rsidRPr="007A6772">
        <w:rPr>
          <w:lang w:val="en-US"/>
        </w:rPr>
        <w:t xml:space="preserve"> A., Blackwell P.G., </w:t>
      </w:r>
      <w:proofErr w:type="spellStart"/>
      <w:r w:rsidRPr="007A6772">
        <w:rPr>
          <w:lang w:val="en-US"/>
        </w:rPr>
        <w:t>Bronk</w:t>
      </w:r>
      <w:proofErr w:type="spellEnd"/>
      <w:r w:rsidRPr="007A6772">
        <w:rPr>
          <w:lang w:val="en-US"/>
        </w:rPr>
        <w:t xml:space="preserve"> Ramsey C., </w:t>
      </w:r>
      <w:proofErr w:type="spellStart"/>
      <w:r w:rsidRPr="007A6772">
        <w:rPr>
          <w:lang w:val="en-US"/>
        </w:rPr>
        <w:t>Butzin</w:t>
      </w:r>
      <w:proofErr w:type="spellEnd"/>
      <w:r w:rsidRPr="007A6772">
        <w:rPr>
          <w:lang w:val="en-US"/>
        </w:rPr>
        <w:t xml:space="preserve"> M., Cheng H., Edwards R.L., Friedrich M, </w:t>
      </w:r>
      <w:proofErr w:type="spellStart"/>
      <w:r w:rsidRPr="007A6772">
        <w:rPr>
          <w:lang w:val="en-US"/>
        </w:rPr>
        <w:t>Grootes</w:t>
      </w:r>
      <w:proofErr w:type="spellEnd"/>
      <w:r w:rsidRPr="007A6772">
        <w:rPr>
          <w:lang w:val="en-US"/>
        </w:rPr>
        <w:t xml:space="preserve"> P.M., </w:t>
      </w:r>
      <w:proofErr w:type="spellStart"/>
      <w:r w:rsidRPr="007A6772">
        <w:rPr>
          <w:lang w:val="en-US"/>
        </w:rPr>
        <w:t>Guilderson</w:t>
      </w:r>
      <w:proofErr w:type="spellEnd"/>
      <w:r w:rsidRPr="007A6772">
        <w:rPr>
          <w:lang w:val="en-US"/>
        </w:rPr>
        <w:t xml:space="preserve"> T.P., </w:t>
      </w:r>
      <w:proofErr w:type="spellStart"/>
      <w:r w:rsidRPr="007A6772">
        <w:rPr>
          <w:lang w:val="en-US"/>
        </w:rPr>
        <w:t>Hajdas</w:t>
      </w:r>
      <w:proofErr w:type="spellEnd"/>
      <w:r w:rsidRPr="007A6772">
        <w:rPr>
          <w:lang w:val="en-US"/>
        </w:rPr>
        <w:t xml:space="preserve"> I., Heaton T.., Hogg A.G. (2020) The IntCal2  Northern Hemisphere radiocarbon age calibration curve (0-55 kcal BP) // Radiocarbon. 2020. V. 62. № 4. P. 725-757. </w:t>
      </w:r>
      <w:hyperlink r:id="rId9">
        <w:r w:rsidRPr="007A6772">
          <w:rPr>
            <w:color w:val="954F72"/>
            <w:u w:val="single"/>
            <w:lang w:val="en-US"/>
          </w:rPr>
          <w:t>https://doi.org/10.1017/RDC.2020.41</w:t>
        </w:r>
      </w:hyperlink>
      <w:r w:rsidRPr="007A6772">
        <w:rPr>
          <w:lang w:val="en-US"/>
        </w:rPr>
        <w:t>.</w:t>
      </w:r>
    </w:p>
    <w:p w14:paraId="72821BB3" w14:textId="77777777" w:rsidR="00D03829" w:rsidRPr="00224760" w:rsidRDefault="008103D8">
      <w:pPr>
        <w:spacing w:after="0"/>
        <w:ind w:firstLine="700"/>
        <w:jc w:val="both"/>
        <w:rPr>
          <w:lang w:val="en-US"/>
        </w:rPr>
      </w:pPr>
      <w:bookmarkStart w:id="19" w:name="_heading=h.ql2s36q79p33" w:colFirst="0" w:colLast="0"/>
      <w:bookmarkStart w:id="20" w:name="_heading=h.pm0grnvnskmx" w:colFirst="0" w:colLast="0"/>
      <w:bookmarkEnd w:id="19"/>
      <w:bookmarkEnd w:id="20"/>
      <w:proofErr w:type="spellStart"/>
      <w:r w:rsidRPr="007A6772">
        <w:rPr>
          <w:lang w:val="en-US"/>
        </w:rPr>
        <w:t>Stuiver</w:t>
      </w:r>
      <w:proofErr w:type="spellEnd"/>
      <w:r w:rsidRPr="007A6772">
        <w:rPr>
          <w:lang w:val="en-US"/>
        </w:rPr>
        <w:t xml:space="preserve"> M., Polach H.A. Discussion: Reporting of </w:t>
      </w:r>
      <w:r w:rsidRPr="007A6772">
        <w:rPr>
          <w:vertAlign w:val="superscript"/>
          <w:lang w:val="en-US"/>
        </w:rPr>
        <w:t>14</w:t>
      </w:r>
      <w:r w:rsidRPr="007A6772">
        <w:rPr>
          <w:lang w:val="en-US"/>
        </w:rPr>
        <w:t xml:space="preserve">C data // Radiocarbon. 1977. </w:t>
      </w:r>
      <w:r w:rsidRPr="007A6772">
        <w:t>Т</w:t>
      </w:r>
      <w:r w:rsidRPr="007A6772">
        <w:rPr>
          <w:lang w:val="en-US"/>
        </w:rPr>
        <w:t xml:space="preserve">. 19. № 3. </w:t>
      </w:r>
      <w:r w:rsidRPr="007A6772">
        <w:t>С</w:t>
      </w:r>
      <w:r w:rsidRPr="007A6772">
        <w:rPr>
          <w:lang w:val="en-US"/>
        </w:rPr>
        <w:t>. 355–363.</w:t>
      </w:r>
    </w:p>
    <w:p w14:paraId="469E513C" w14:textId="068BB062" w:rsidR="00D03829" w:rsidRPr="006335E1" w:rsidRDefault="00D03829" w:rsidP="005650A7">
      <w:pPr>
        <w:spacing w:after="0"/>
        <w:ind w:firstLine="700"/>
        <w:jc w:val="both"/>
        <w:rPr>
          <w:strike/>
          <w:color w:val="FF0000"/>
          <w:lang w:val="en-US"/>
        </w:rPr>
      </w:pPr>
      <w:bookmarkStart w:id="21" w:name="_heading=h.nz5nxddmj26z" w:colFirst="0" w:colLast="0"/>
      <w:bookmarkStart w:id="22" w:name="_heading=h.52m32z9xznya" w:colFirst="0" w:colLast="0"/>
      <w:bookmarkStart w:id="23" w:name="_heading=h.4yz5gj5fn8x8" w:colFirst="0" w:colLast="0"/>
      <w:bookmarkStart w:id="24" w:name="_heading=h.aefkqhxcgqcb" w:colFirst="0" w:colLast="0"/>
      <w:bookmarkStart w:id="25" w:name="_heading=h.g10m9yyztgit" w:colFirst="0" w:colLast="0"/>
      <w:bookmarkEnd w:id="21"/>
      <w:bookmarkEnd w:id="22"/>
      <w:bookmarkEnd w:id="23"/>
      <w:bookmarkEnd w:id="24"/>
      <w:bookmarkEnd w:id="25"/>
    </w:p>
    <w:sectPr w:rsidR="00D03829" w:rsidRPr="006335E1" w:rsidSect="008103D8">
      <w:pgSz w:w="11906" w:h="16838"/>
      <w:pgMar w:top="720" w:right="720" w:bottom="720" w:left="720"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4B5A6A" w15:done="0"/>
  <w15:commentEx w15:paraId="3A387A21" w15:done="0"/>
  <w15:commentEx w15:paraId="29BA56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54C83" w16cex:dateUtc="2023-02-01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4B5A6A" w16cid:durableId="279D24A5"/>
  <w16cid:commentId w16cid:paraId="3A387A21" w16cid:durableId="279D24A6"/>
  <w16cid:commentId w16cid:paraId="29BA561E" w16cid:durableId="279D24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imes New Roman"/>
    <w:panose1 w:val="00000000000000000000"/>
    <w:charset w:val="00"/>
    <w:family w:val="roman"/>
    <w:notTrueType/>
    <w:pitch w:val="default"/>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2D86"/>
    <w:multiLevelType w:val="hybridMultilevel"/>
    <w:tmpl w:val="6E423592"/>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nsid w:val="36192E4F"/>
    <w:multiLevelType w:val="multilevel"/>
    <w:tmpl w:val="76204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гатова Анна Раульевна">
    <w15:presenceInfo w15:providerId="None" w15:userId="Агатова Анна Раул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29"/>
    <w:rsid w:val="00071128"/>
    <w:rsid w:val="00160F85"/>
    <w:rsid w:val="00183511"/>
    <w:rsid w:val="00214ECD"/>
    <w:rsid w:val="00224760"/>
    <w:rsid w:val="002E647F"/>
    <w:rsid w:val="002F6B86"/>
    <w:rsid w:val="003541FA"/>
    <w:rsid w:val="00360539"/>
    <w:rsid w:val="003F7C36"/>
    <w:rsid w:val="0042590E"/>
    <w:rsid w:val="004C3EAD"/>
    <w:rsid w:val="005650A7"/>
    <w:rsid w:val="00586A88"/>
    <w:rsid w:val="005B5859"/>
    <w:rsid w:val="005C1071"/>
    <w:rsid w:val="005D34D1"/>
    <w:rsid w:val="00610734"/>
    <w:rsid w:val="006335E1"/>
    <w:rsid w:val="00674F16"/>
    <w:rsid w:val="007761EF"/>
    <w:rsid w:val="007A6772"/>
    <w:rsid w:val="007C791D"/>
    <w:rsid w:val="008103D8"/>
    <w:rsid w:val="00836B2B"/>
    <w:rsid w:val="008D5E13"/>
    <w:rsid w:val="009059C8"/>
    <w:rsid w:val="00926695"/>
    <w:rsid w:val="00944F24"/>
    <w:rsid w:val="0098042E"/>
    <w:rsid w:val="009F7210"/>
    <w:rsid w:val="00A4177F"/>
    <w:rsid w:val="00A46128"/>
    <w:rsid w:val="00A92101"/>
    <w:rsid w:val="00B80DBA"/>
    <w:rsid w:val="00BA4BC4"/>
    <w:rsid w:val="00BD17FA"/>
    <w:rsid w:val="00CD5DD2"/>
    <w:rsid w:val="00D03829"/>
    <w:rsid w:val="00D06F08"/>
    <w:rsid w:val="00D97625"/>
    <w:rsid w:val="00E153EE"/>
    <w:rsid w:val="00E20D4D"/>
    <w:rsid w:val="00E46E2D"/>
    <w:rsid w:val="00EE0A44"/>
    <w:rsid w:val="00F23A9F"/>
    <w:rsid w:val="00F54655"/>
    <w:rsid w:val="00F916B6"/>
    <w:rsid w:val="00FD7F5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5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spacing w:after="80" w:line="360" w:lineRule="auto"/>
        <w:ind w:firstLine="56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86"/>
  </w:style>
  <w:style w:type="paragraph" w:styleId="Heading1">
    <w:name w:val="heading 1"/>
    <w:basedOn w:val="1"/>
    <w:next w:val="1"/>
    <w:pPr>
      <w:keepNext/>
      <w:keepLines/>
      <w:spacing w:before="480" w:after="120"/>
      <w:outlineLvl w:val="0"/>
    </w:pPr>
    <w:rPr>
      <w:b/>
      <w:sz w:val="48"/>
      <w:szCs w:val="48"/>
    </w:rPr>
  </w:style>
  <w:style w:type="paragraph" w:styleId="Heading2">
    <w:name w:val="heading 2"/>
    <w:basedOn w:val="1"/>
    <w:next w:val="1"/>
    <w:pPr>
      <w:keepNext/>
      <w:keepLines/>
      <w:spacing w:before="360"/>
      <w:outlineLvl w:val="1"/>
    </w:pPr>
    <w:rPr>
      <w:b/>
      <w:sz w:val="36"/>
      <w:szCs w:val="36"/>
    </w:rPr>
  </w:style>
  <w:style w:type="paragraph" w:styleId="Heading3">
    <w:name w:val="heading 3"/>
    <w:basedOn w:val="1"/>
    <w:next w:val="1"/>
    <w:pPr>
      <w:keepNext/>
      <w:keepLines/>
      <w:spacing w:before="280"/>
      <w:outlineLvl w:val="2"/>
    </w:pPr>
    <w:rPr>
      <w:b/>
      <w:sz w:val="28"/>
      <w:szCs w:val="28"/>
    </w:rPr>
  </w:style>
  <w:style w:type="paragraph" w:styleId="Heading4">
    <w:name w:val="heading 4"/>
    <w:basedOn w:val="1"/>
    <w:next w:val="1"/>
    <w:pPr>
      <w:keepNext/>
      <w:keepLines/>
      <w:spacing w:before="240" w:after="40"/>
      <w:outlineLvl w:val="3"/>
    </w:pPr>
    <w:rPr>
      <w:b/>
    </w:rPr>
  </w:style>
  <w:style w:type="paragraph" w:styleId="Heading5">
    <w:name w:val="heading 5"/>
    <w:basedOn w:val="1"/>
    <w:next w:val="1"/>
    <w:pPr>
      <w:keepNext/>
      <w:keepLines/>
      <w:spacing w:before="220" w:after="40"/>
      <w:outlineLvl w:val="4"/>
    </w:pPr>
    <w:rPr>
      <w:b/>
      <w:sz w:val="22"/>
      <w:szCs w:val="22"/>
    </w:rPr>
  </w:style>
  <w:style w:type="paragraph" w:styleId="Heading6">
    <w:name w:val="heading 6"/>
    <w:basedOn w:val="1"/>
    <w:next w:v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style>
  <w:style w:type="paragraph" w:styleId="Title">
    <w:name w:val="Title"/>
    <w:basedOn w:val="1"/>
    <w:next w:val="1"/>
    <w:pPr>
      <w:keepNext/>
      <w:keepLines/>
      <w:spacing w:before="480" w:after="120"/>
    </w:pPr>
    <w:rPr>
      <w:b/>
      <w:sz w:val="72"/>
      <w:szCs w:val="72"/>
    </w:rPr>
  </w:style>
  <w:style w:type="paragraph" w:styleId="Subtitle">
    <w:name w:val="Subtitle"/>
    <w:basedOn w:val="1"/>
    <w:next w:val="1"/>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5D34D1"/>
    <w:pPr>
      <w:ind w:left="720"/>
      <w:contextualSpacing/>
    </w:pPr>
  </w:style>
  <w:style w:type="paragraph" w:styleId="Revision">
    <w:name w:val="Revision"/>
    <w:hidden/>
    <w:uiPriority w:val="99"/>
    <w:semiHidden/>
    <w:rsid w:val="002E647F"/>
    <w:pPr>
      <w:spacing w:after="0" w:line="240" w:lineRule="auto"/>
      <w:ind w:firstLine="0"/>
    </w:pPr>
  </w:style>
  <w:style w:type="character" w:styleId="CommentReference">
    <w:name w:val="annotation reference"/>
    <w:basedOn w:val="DefaultParagraphFont"/>
    <w:uiPriority w:val="99"/>
    <w:semiHidden/>
    <w:unhideWhenUsed/>
    <w:rsid w:val="002E647F"/>
    <w:rPr>
      <w:sz w:val="16"/>
      <w:szCs w:val="16"/>
    </w:rPr>
  </w:style>
  <w:style w:type="paragraph" w:styleId="CommentText">
    <w:name w:val="annotation text"/>
    <w:basedOn w:val="Normal"/>
    <w:link w:val="CommentTextChar"/>
    <w:uiPriority w:val="99"/>
    <w:semiHidden/>
    <w:unhideWhenUsed/>
    <w:rsid w:val="002E647F"/>
    <w:pPr>
      <w:spacing w:line="240" w:lineRule="auto"/>
    </w:pPr>
    <w:rPr>
      <w:sz w:val="20"/>
      <w:szCs w:val="20"/>
    </w:rPr>
  </w:style>
  <w:style w:type="character" w:customStyle="1" w:styleId="CommentTextChar">
    <w:name w:val="Comment Text Char"/>
    <w:basedOn w:val="DefaultParagraphFont"/>
    <w:link w:val="CommentText"/>
    <w:uiPriority w:val="99"/>
    <w:semiHidden/>
    <w:rsid w:val="002E647F"/>
    <w:rPr>
      <w:sz w:val="20"/>
      <w:szCs w:val="20"/>
    </w:rPr>
  </w:style>
  <w:style w:type="paragraph" w:styleId="CommentSubject">
    <w:name w:val="annotation subject"/>
    <w:basedOn w:val="CommentText"/>
    <w:next w:val="CommentText"/>
    <w:link w:val="CommentSubjectChar"/>
    <w:uiPriority w:val="99"/>
    <w:semiHidden/>
    <w:unhideWhenUsed/>
    <w:rsid w:val="002E647F"/>
    <w:rPr>
      <w:b/>
      <w:bCs/>
    </w:rPr>
  </w:style>
  <w:style w:type="character" w:customStyle="1" w:styleId="CommentSubjectChar">
    <w:name w:val="Comment Subject Char"/>
    <w:basedOn w:val="CommentTextChar"/>
    <w:link w:val="CommentSubject"/>
    <w:uiPriority w:val="99"/>
    <w:semiHidden/>
    <w:rsid w:val="002E647F"/>
    <w:rPr>
      <w:b/>
      <w:bCs/>
      <w:sz w:val="20"/>
      <w:szCs w:val="20"/>
    </w:rPr>
  </w:style>
  <w:style w:type="paragraph" w:styleId="BalloonText">
    <w:name w:val="Balloon Text"/>
    <w:basedOn w:val="Normal"/>
    <w:link w:val="BalloonTextChar"/>
    <w:uiPriority w:val="99"/>
    <w:semiHidden/>
    <w:unhideWhenUsed/>
    <w:rsid w:val="00A92101"/>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A92101"/>
    <w:rPr>
      <w:rFonts w:ascii="Lucida Grande CY" w:hAnsi="Lucida Grande CY" w:cs="Lucida Grande CY"/>
      <w:sz w:val="18"/>
      <w:szCs w:val="18"/>
    </w:rPr>
  </w:style>
  <w:style w:type="table" w:styleId="TableGrid">
    <w:name w:val="Table Grid"/>
    <w:basedOn w:val="TableNormal"/>
    <w:uiPriority w:val="59"/>
    <w:rsid w:val="00F91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spacing w:after="80" w:line="360" w:lineRule="auto"/>
        <w:ind w:firstLine="56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86"/>
  </w:style>
  <w:style w:type="paragraph" w:styleId="Heading1">
    <w:name w:val="heading 1"/>
    <w:basedOn w:val="1"/>
    <w:next w:val="1"/>
    <w:pPr>
      <w:keepNext/>
      <w:keepLines/>
      <w:spacing w:before="480" w:after="120"/>
      <w:outlineLvl w:val="0"/>
    </w:pPr>
    <w:rPr>
      <w:b/>
      <w:sz w:val="48"/>
      <w:szCs w:val="48"/>
    </w:rPr>
  </w:style>
  <w:style w:type="paragraph" w:styleId="Heading2">
    <w:name w:val="heading 2"/>
    <w:basedOn w:val="1"/>
    <w:next w:val="1"/>
    <w:pPr>
      <w:keepNext/>
      <w:keepLines/>
      <w:spacing w:before="360"/>
      <w:outlineLvl w:val="1"/>
    </w:pPr>
    <w:rPr>
      <w:b/>
      <w:sz w:val="36"/>
      <w:szCs w:val="36"/>
    </w:rPr>
  </w:style>
  <w:style w:type="paragraph" w:styleId="Heading3">
    <w:name w:val="heading 3"/>
    <w:basedOn w:val="1"/>
    <w:next w:val="1"/>
    <w:pPr>
      <w:keepNext/>
      <w:keepLines/>
      <w:spacing w:before="280"/>
      <w:outlineLvl w:val="2"/>
    </w:pPr>
    <w:rPr>
      <w:b/>
      <w:sz w:val="28"/>
      <w:szCs w:val="28"/>
    </w:rPr>
  </w:style>
  <w:style w:type="paragraph" w:styleId="Heading4">
    <w:name w:val="heading 4"/>
    <w:basedOn w:val="1"/>
    <w:next w:val="1"/>
    <w:pPr>
      <w:keepNext/>
      <w:keepLines/>
      <w:spacing w:before="240" w:after="40"/>
      <w:outlineLvl w:val="3"/>
    </w:pPr>
    <w:rPr>
      <w:b/>
    </w:rPr>
  </w:style>
  <w:style w:type="paragraph" w:styleId="Heading5">
    <w:name w:val="heading 5"/>
    <w:basedOn w:val="1"/>
    <w:next w:val="1"/>
    <w:pPr>
      <w:keepNext/>
      <w:keepLines/>
      <w:spacing w:before="220" w:after="40"/>
      <w:outlineLvl w:val="4"/>
    </w:pPr>
    <w:rPr>
      <w:b/>
      <w:sz w:val="22"/>
      <w:szCs w:val="22"/>
    </w:rPr>
  </w:style>
  <w:style w:type="paragraph" w:styleId="Heading6">
    <w:name w:val="heading 6"/>
    <w:basedOn w:val="1"/>
    <w:next w:v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style>
  <w:style w:type="paragraph" w:styleId="Title">
    <w:name w:val="Title"/>
    <w:basedOn w:val="1"/>
    <w:next w:val="1"/>
    <w:pPr>
      <w:keepNext/>
      <w:keepLines/>
      <w:spacing w:before="480" w:after="120"/>
    </w:pPr>
    <w:rPr>
      <w:b/>
      <w:sz w:val="72"/>
      <w:szCs w:val="72"/>
    </w:rPr>
  </w:style>
  <w:style w:type="paragraph" w:styleId="Subtitle">
    <w:name w:val="Subtitle"/>
    <w:basedOn w:val="1"/>
    <w:next w:val="1"/>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5D34D1"/>
    <w:pPr>
      <w:ind w:left="720"/>
      <w:contextualSpacing/>
    </w:pPr>
  </w:style>
  <w:style w:type="paragraph" w:styleId="Revision">
    <w:name w:val="Revision"/>
    <w:hidden/>
    <w:uiPriority w:val="99"/>
    <w:semiHidden/>
    <w:rsid w:val="002E647F"/>
    <w:pPr>
      <w:spacing w:after="0" w:line="240" w:lineRule="auto"/>
      <w:ind w:firstLine="0"/>
    </w:pPr>
  </w:style>
  <w:style w:type="character" w:styleId="CommentReference">
    <w:name w:val="annotation reference"/>
    <w:basedOn w:val="DefaultParagraphFont"/>
    <w:uiPriority w:val="99"/>
    <w:semiHidden/>
    <w:unhideWhenUsed/>
    <w:rsid w:val="002E647F"/>
    <w:rPr>
      <w:sz w:val="16"/>
      <w:szCs w:val="16"/>
    </w:rPr>
  </w:style>
  <w:style w:type="paragraph" w:styleId="CommentText">
    <w:name w:val="annotation text"/>
    <w:basedOn w:val="Normal"/>
    <w:link w:val="CommentTextChar"/>
    <w:uiPriority w:val="99"/>
    <w:semiHidden/>
    <w:unhideWhenUsed/>
    <w:rsid w:val="002E647F"/>
    <w:pPr>
      <w:spacing w:line="240" w:lineRule="auto"/>
    </w:pPr>
    <w:rPr>
      <w:sz w:val="20"/>
      <w:szCs w:val="20"/>
    </w:rPr>
  </w:style>
  <w:style w:type="character" w:customStyle="1" w:styleId="CommentTextChar">
    <w:name w:val="Comment Text Char"/>
    <w:basedOn w:val="DefaultParagraphFont"/>
    <w:link w:val="CommentText"/>
    <w:uiPriority w:val="99"/>
    <w:semiHidden/>
    <w:rsid w:val="002E647F"/>
    <w:rPr>
      <w:sz w:val="20"/>
      <w:szCs w:val="20"/>
    </w:rPr>
  </w:style>
  <w:style w:type="paragraph" w:styleId="CommentSubject">
    <w:name w:val="annotation subject"/>
    <w:basedOn w:val="CommentText"/>
    <w:next w:val="CommentText"/>
    <w:link w:val="CommentSubjectChar"/>
    <w:uiPriority w:val="99"/>
    <w:semiHidden/>
    <w:unhideWhenUsed/>
    <w:rsid w:val="002E647F"/>
    <w:rPr>
      <w:b/>
      <w:bCs/>
    </w:rPr>
  </w:style>
  <w:style w:type="character" w:customStyle="1" w:styleId="CommentSubjectChar">
    <w:name w:val="Comment Subject Char"/>
    <w:basedOn w:val="CommentTextChar"/>
    <w:link w:val="CommentSubject"/>
    <w:uiPriority w:val="99"/>
    <w:semiHidden/>
    <w:rsid w:val="002E647F"/>
    <w:rPr>
      <w:b/>
      <w:bCs/>
      <w:sz w:val="20"/>
      <w:szCs w:val="20"/>
    </w:rPr>
  </w:style>
  <w:style w:type="paragraph" w:styleId="BalloonText">
    <w:name w:val="Balloon Text"/>
    <w:basedOn w:val="Normal"/>
    <w:link w:val="BalloonTextChar"/>
    <w:uiPriority w:val="99"/>
    <w:semiHidden/>
    <w:unhideWhenUsed/>
    <w:rsid w:val="00A92101"/>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A92101"/>
    <w:rPr>
      <w:rFonts w:ascii="Lucida Grande CY" w:hAnsi="Lucida Grande CY" w:cs="Lucida Grande CY"/>
      <w:sz w:val="18"/>
      <w:szCs w:val="18"/>
    </w:rPr>
  </w:style>
  <w:style w:type="table" w:styleId="TableGrid">
    <w:name w:val="Table Grid"/>
    <w:basedOn w:val="TableNormal"/>
    <w:uiPriority w:val="59"/>
    <w:rsid w:val="00F91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9" Type="http://schemas.microsoft.com/office/2018/08/relationships/commentsExtensible" Target="commentsExtensible.xml"/><Relationship Id="rId20"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doi.org/10.1111/ggr.12124" TargetMode="External"/><Relationship Id="rId9" Type="http://schemas.openxmlformats.org/officeDocument/2006/relationships/hyperlink" Target="https://doi.org/10.1017/RDC.2020.41" TargetMode="External"/><Relationship Id="rId1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1y3ieCBlmv5bKycnpIECxPw+Cg==">AMUW2mUnd7WGi71NcGW7Kb7L8qr9srHB1o3AK/Ioysb8tcMxD2BJAcbDhVq88lHuQZ/7GKGsCM5fE44k3nphMxdT4O0gzJCwXQ14GfsyOHlrXtaXQhMJY4AA4fzCQZhvPrnBXJRZxyKGAtQJBTeCMPaGGEhgHe71fA1IZ08ZujcaUgPR6Q9fb4LCYRCIDe+1P3n3TmK3c4in3UsKu06nJKQY2hp3c3JKNYQ/51fL/Q/gnDDD1qv0kmr0ivVDrRGi3bcwYQHhQP7DnKSW8Izu6GLnmD5ge4OZ3cShQe0/bPY8fstoRD+ec1t4dZXtEdwc+Hm44cMNSk7Wkcp8aKjZ+1kzCRae/hbVJSIg3yzyZOhWGtFVMw8PO66zX9a6kUn4D9+y6U/YNxHRFqPeDlANGfbsAEBqVktlUVL+ipIDyEJ3/7KnLn3lL4IEuTfV5tH32Ok2Cf4yBbYpIBnbPLpFXtUZSlrENfRJWT9EMYcv0vCGCVujCuT4yIfFd4XxYgV+Idx7J7U4bsYlMB7k50c2/tW6OsgkjyeyQbVebW4+bco6CHZGdfcjTwq1dshpm9EX358zdz2yhhPv+Kjs7gw1ZSsCTN4Y3to0d8qPs3EwtWdEvA7em8sOAWrbYSJMF2OPvy+rMFTWUUw6TjdPMWjGvsKDkHsIG0ltCVkUEYga007qTOKWlrFAaoqqH5vxY9ES1wnDJrI7mu4kNmB7Tdm0ZDNayc3RTGUyO+dS3lujA9L14y4PFAFyUlvyCTPUJ2OqE/HjhdGhcAnIuRPAvvSNWP1tN/8xA+hQmN0utiOVfaiCEmlkrpxZzW+uOkUBW5wjCP9t1fMLUfo90RCF7V9XNv/4UkXyofXCOJbE9jbTP4NjaFGu+eT66+ivG3RU0bvMwpFYsckfMSN1oZuHEzR4+uKfDWG5xX0ravlmue3kFXU4vseVS58SzoOyJXzgkA4nXBgeVwhzIIBbp//sHOmUQnvtiEUUZHuYtt9wx9Lu4Ek/Uxqxq0SBTuq8HjtyFjMqdNZNeGbdTzw3t/uiIdBMThzS0eByf7dRgHs9rattLYCZ4S6kzhBuV4sRO3Zx3q687EgqSzPja3IuakkF4hpcQoFVU5avbNAYkIuxh5/rlzwVyMgEi0BCCcH+8gWFWMIa9qBfD9n5og/U9vEG/R7y7p/5ls1kVPpiGVhI+2lmyvboQp2rLDnAsY7RjaDxUyDQjao1BtC+LRCYRAafZ9pk2k7YpIV4MrxHtIFtb2SaTwmVR2mqZklEtvFXDJxd/88sF4maJDT2tsbTYtB1UMbsP0SfdbuD0ZAIAah7yHpl4UlGKLaa+kVWgT5bX0a/7hCL7qQeDwLQ+U6lRolxV6q/6s4bslhqRgCvBn8FzxOECWz9N2fxFRPqBI3GiLjXueTbMvq+nXhwCbgFrlKbqhYwV8xYzaRxKZG3MdOAVJHk0RUhod3JqKMAylXx5ts5nj/1YfG5ZL9Ung392pUQ5OZbLbM2V7iNx9q5i3j+tVeTsWjmv8T+IZTnyxUFe6wAZIFS1drSEY4hMage/4HVCTPRrz9cHaUQ/niFXNdnTR9lhbbW87/lYeRE9ff6r+A4bipUi/8G9q/sUEsTc+zgF9+GFvQpBcIUpLkER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225366-E8BB-D442-9BC0-53F197FF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6</Pages>
  <Words>1961</Words>
  <Characters>11182</Characters>
  <Application>Microsoft Macintosh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Университет Хоккайдо</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 Сергей Захарович</dc:creator>
  <cp:lastModifiedBy>Бергаль-Кувикас Ольга Валерьевна</cp:lastModifiedBy>
  <cp:revision>18</cp:revision>
  <dcterms:created xsi:type="dcterms:W3CDTF">2023-02-19T17:29:00Z</dcterms:created>
  <dcterms:modified xsi:type="dcterms:W3CDTF">2023-03-24T06:38:00Z</dcterms:modified>
</cp:coreProperties>
</file>