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67A" w14:textId="7E72C552" w:rsidR="009A31E6" w:rsidRDefault="009A31E6" w:rsidP="009A31E6">
      <w:pPr>
        <w:rPr>
          <w:lang w:val="en-US"/>
        </w:rPr>
      </w:pPr>
      <w:r>
        <w:rPr>
          <w:b/>
          <w:bCs/>
          <w:sz w:val="23"/>
          <w:szCs w:val="23"/>
          <w:lang w:val="en-US"/>
        </w:rPr>
        <w:t xml:space="preserve">SUPPLEMENTARY MATERIALS  </w:t>
      </w:r>
    </w:p>
    <w:p w14:paraId="1A4CAEAB" w14:textId="4438D2F0" w:rsidR="007B18B8" w:rsidRDefault="007B18B8" w:rsidP="007B18B8">
      <w:pPr>
        <w:spacing w:line="360" w:lineRule="auto"/>
        <w:jc w:val="center"/>
        <w:rPr>
          <w:rFonts w:eastAsia="Calibri"/>
          <w:sz w:val="28"/>
        </w:rPr>
      </w:pPr>
    </w:p>
    <w:p w14:paraId="0ABE4CAC" w14:textId="1D0D74B0" w:rsidR="00C95107" w:rsidRPr="00C95107" w:rsidRDefault="00C95107" w:rsidP="00C95107">
      <w:pPr>
        <w:spacing w:line="360" w:lineRule="auto"/>
        <w:jc w:val="center"/>
        <w:rPr>
          <w:rFonts w:eastAsia="Calibri"/>
          <w:sz w:val="28"/>
        </w:rPr>
      </w:pPr>
      <w:r w:rsidRPr="00C95107">
        <w:rPr>
          <w:rFonts w:eastAsia="Calibri"/>
          <w:sz w:val="28"/>
        </w:rPr>
        <w:t xml:space="preserve">Никитин Д. А., Иванова А. Е., </w:t>
      </w:r>
      <w:proofErr w:type="spellStart"/>
      <w:r w:rsidRPr="00C95107">
        <w:rPr>
          <w:rFonts w:eastAsia="Calibri"/>
          <w:sz w:val="28"/>
        </w:rPr>
        <w:t>Железова</w:t>
      </w:r>
      <w:proofErr w:type="spellEnd"/>
      <w:r w:rsidRPr="00C95107">
        <w:rPr>
          <w:rFonts w:eastAsia="Calibri"/>
          <w:sz w:val="28"/>
        </w:rPr>
        <w:t xml:space="preserve"> А. Д., Семенов М. В., </w:t>
      </w:r>
      <w:proofErr w:type="spellStart"/>
      <w:r w:rsidRPr="00C95107">
        <w:rPr>
          <w:rFonts w:eastAsia="Calibri"/>
          <w:sz w:val="28"/>
        </w:rPr>
        <w:t>Гаджиумаров</w:t>
      </w:r>
      <w:proofErr w:type="spellEnd"/>
      <w:r w:rsidRPr="00C95107">
        <w:rPr>
          <w:rFonts w:eastAsia="Calibri"/>
          <w:sz w:val="28"/>
        </w:rPr>
        <w:t xml:space="preserve"> Р. Г., </w:t>
      </w:r>
      <w:proofErr w:type="spellStart"/>
      <w:r w:rsidRPr="00C95107">
        <w:rPr>
          <w:rFonts w:eastAsia="Calibri"/>
          <w:sz w:val="28"/>
        </w:rPr>
        <w:t>Тхакахова</w:t>
      </w:r>
      <w:proofErr w:type="spellEnd"/>
      <w:r w:rsidRPr="00C95107">
        <w:rPr>
          <w:rFonts w:eastAsia="Calibri"/>
          <w:sz w:val="28"/>
        </w:rPr>
        <w:t xml:space="preserve"> А. К., Чернов Т. И., Ксенофонтова Н. А., </w:t>
      </w:r>
      <w:proofErr w:type="spellStart"/>
      <w:r w:rsidRPr="00C95107">
        <w:rPr>
          <w:rFonts w:eastAsia="Calibri"/>
          <w:sz w:val="28"/>
        </w:rPr>
        <w:t>Кутовая</w:t>
      </w:r>
      <w:proofErr w:type="spellEnd"/>
      <w:r w:rsidRPr="00C95107">
        <w:rPr>
          <w:rFonts w:eastAsia="Calibri"/>
          <w:sz w:val="28"/>
        </w:rPr>
        <w:t xml:space="preserve"> О. В. Оценка влияния технологии </w:t>
      </w:r>
      <w:proofErr w:type="spellStart"/>
      <w:r w:rsidRPr="00C95107">
        <w:rPr>
          <w:rFonts w:eastAsia="Calibri"/>
          <w:sz w:val="28"/>
        </w:rPr>
        <w:t>no-till</w:t>
      </w:r>
      <w:proofErr w:type="spellEnd"/>
      <w:r w:rsidRPr="00C95107">
        <w:rPr>
          <w:rFonts w:eastAsia="Calibri"/>
          <w:sz w:val="28"/>
        </w:rPr>
        <w:t xml:space="preserve"> и вспашки на </w:t>
      </w:r>
      <w:proofErr w:type="spellStart"/>
      <w:r w:rsidRPr="00C95107">
        <w:rPr>
          <w:rFonts w:eastAsia="Calibri"/>
          <w:sz w:val="28"/>
        </w:rPr>
        <w:t>микробиом</w:t>
      </w:r>
      <w:proofErr w:type="spellEnd"/>
      <w:r w:rsidRPr="00C95107">
        <w:rPr>
          <w:rFonts w:eastAsia="Calibri"/>
          <w:sz w:val="28"/>
        </w:rPr>
        <w:t xml:space="preserve"> южных </w:t>
      </w:r>
      <w:proofErr w:type="spellStart"/>
      <w:r w:rsidRPr="00C95107">
        <w:rPr>
          <w:rFonts w:eastAsia="Calibri"/>
          <w:sz w:val="28"/>
        </w:rPr>
        <w:t>агрочерноземов</w:t>
      </w:r>
      <w:proofErr w:type="spellEnd"/>
      <w:r w:rsidRPr="00C95107">
        <w:rPr>
          <w:rFonts w:eastAsia="Calibri"/>
          <w:sz w:val="28"/>
        </w:rPr>
        <w:t xml:space="preserve"> </w:t>
      </w:r>
    </w:p>
    <w:p w14:paraId="6CBBCDD0" w14:textId="77777777" w:rsidR="007A7959" w:rsidRDefault="007A7959" w:rsidP="007A7959">
      <w:pPr>
        <w:spacing w:line="360" w:lineRule="auto"/>
        <w:ind w:left="-567" w:firstLine="709"/>
        <w:rPr>
          <w:rFonts w:eastAsia="Times New Roman"/>
          <w:b/>
          <w:bCs/>
          <w:spacing w:val="-8"/>
          <w:lang w:val="en-US" w:eastAsia="ru-RU"/>
        </w:rPr>
      </w:pPr>
    </w:p>
    <w:p w14:paraId="2BFA26E8" w14:textId="63954954" w:rsidR="007A7959" w:rsidRDefault="007A7959" w:rsidP="007A7959">
      <w:pPr>
        <w:spacing w:line="360" w:lineRule="auto"/>
        <w:jc w:val="center"/>
        <w:rPr>
          <w:b/>
          <w:bCs/>
          <w:spacing w:val="-6"/>
          <w:sz w:val="28"/>
          <w:szCs w:val="28"/>
          <w:lang w:val="en-US"/>
        </w:rPr>
      </w:pPr>
      <w:r>
        <w:rPr>
          <w:b/>
          <w:bCs/>
          <w:spacing w:val="-6"/>
          <w:sz w:val="28"/>
          <w:szCs w:val="28"/>
          <w:lang w:val="en-US"/>
        </w:rPr>
        <w:t xml:space="preserve">D. A.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Nikitin</w:t>
      </w:r>
      <w:proofErr w:type="spellEnd"/>
      <w:r>
        <w:rPr>
          <w:b/>
          <w:bCs/>
          <w:spacing w:val="-6"/>
          <w:sz w:val="28"/>
          <w:szCs w:val="28"/>
          <w:vertAlign w:val="superscript"/>
          <w:lang w:val="en-US"/>
        </w:rPr>
        <w:t>*</w:t>
      </w:r>
      <w:r>
        <w:rPr>
          <w:b/>
          <w:bCs/>
          <w:spacing w:val="-6"/>
          <w:sz w:val="28"/>
          <w:szCs w:val="28"/>
          <w:lang w:val="en-US"/>
        </w:rPr>
        <w:t xml:space="preserve">, E. A. Ivanova, A. D.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Zhelezova</w:t>
      </w:r>
      <w:proofErr w:type="spellEnd"/>
      <w:r>
        <w:rPr>
          <w:b/>
          <w:bCs/>
          <w:spacing w:val="-6"/>
          <w:sz w:val="28"/>
          <w:szCs w:val="28"/>
          <w:lang w:val="en-US"/>
        </w:rPr>
        <w:t xml:space="preserve">, M. V. Semenov, </w:t>
      </w:r>
      <w:r>
        <w:rPr>
          <w:rStyle w:val="tlid-translation"/>
          <w:rFonts w:eastAsia="Droid Sans Fallback"/>
          <w:b/>
          <w:sz w:val="28"/>
          <w:szCs w:val="28"/>
          <w:lang w:val="en-US"/>
        </w:rPr>
        <w:t>R. G.</w:t>
      </w:r>
      <w:r>
        <w:rPr>
          <w:b/>
          <w:bCs/>
          <w:spacing w:val="-6"/>
          <w:sz w:val="28"/>
          <w:szCs w:val="28"/>
          <w:lang w:val="en-US"/>
        </w:rPr>
        <w:t xml:space="preserve"> </w:t>
      </w:r>
      <w:proofErr w:type="spellStart"/>
      <w:r>
        <w:rPr>
          <w:rStyle w:val="tlid-translation"/>
          <w:rFonts w:eastAsia="Droid Sans Fallback"/>
          <w:b/>
          <w:sz w:val="28"/>
          <w:szCs w:val="28"/>
          <w:lang w:val="en-US"/>
        </w:rPr>
        <w:t>Gadzhiumarov</w:t>
      </w:r>
      <w:proofErr w:type="spellEnd"/>
      <w:r>
        <w:rPr>
          <w:b/>
          <w:bCs/>
          <w:spacing w:val="-6"/>
          <w:sz w:val="28"/>
          <w:szCs w:val="28"/>
          <w:lang w:val="en-US"/>
        </w:rPr>
        <w:t xml:space="preserve">, A. K.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Tkhakakhova</w:t>
      </w:r>
      <w:proofErr w:type="spellEnd"/>
      <w:r>
        <w:rPr>
          <w:b/>
          <w:bCs/>
          <w:spacing w:val="-6"/>
          <w:sz w:val="28"/>
          <w:szCs w:val="28"/>
          <w:lang w:val="en-US"/>
        </w:rPr>
        <w:t xml:space="preserve">, T. I.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Chernov</w:t>
      </w:r>
      <w:proofErr w:type="spellEnd"/>
      <w:r>
        <w:rPr>
          <w:b/>
          <w:bCs/>
          <w:spacing w:val="-6"/>
          <w:sz w:val="28"/>
          <w:szCs w:val="28"/>
          <w:lang w:val="en-US"/>
        </w:rPr>
        <w:t>, N. A.</w:t>
      </w:r>
      <w:r>
        <w:rPr>
          <w:b/>
          <w:bCs/>
          <w:spacing w:val="-6"/>
          <w:sz w:val="28"/>
          <w:szCs w:val="28"/>
          <w:vertAlign w:val="superscript"/>
          <w:lang w:val="en-US"/>
        </w:rPr>
        <w:t xml:space="preserve">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Xenofontova</w:t>
      </w:r>
      <w:proofErr w:type="spellEnd"/>
      <w:r>
        <w:rPr>
          <w:b/>
          <w:bCs/>
          <w:spacing w:val="-6"/>
          <w:sz w:val="28"/>
          <w:szCs w:val="28"/>
          <w:lang w:val="en-US"/>
        </w:rPr>
        <w:t xml:space="preserve">, O. V. </w:t>
      </w:r>
      <w:proofErr w:type="spellStart"/>
      <w:r>
        <w:rPr>
          <w:b/>
          <w:bCs/>
          <w:spacing w:val="-6"/>
          <w:sz w:val="28"/>
          <w:szCs w:val="28"/>
          <w:lang w:val="en-US"/>
        </w:rPr>
        <w:t>Kutovaya</w:t>
      </w:r>
      <w:proofErr w:type="spellEnd"/>
      <w:r>
        <w:rPr>
          <w:b/>
          <w:bCs/>
          <w:spacing w:val="-6"/>
          <w:sz w:val="28"/>
          <w:szCs w:val="28"/>
          <w:lang w:val="en-US"/>
        </w:rPr>
        <w:t xml:space="preserve"> </w:t>
      </w:r>
    </w:p>
    <w:p w14:paraId="1D6BB82C" w14:textId="77777777" w:rsidR="007A7959" w:rsidRDefault="007A7959" w:rsidP="007A7959">
      <w:pPr>
        <w:spacing w:line="360" w:lineRule="auto"/>
        <w:jc w:val="center"/>
        <w:rPr>
          <w:rFonts w:eastAsia="Calibri"/>
          <w:b/>
          <w:sz w:val="28"/>
          <w:lang w:val="en-US"/>
        </w:rPr>
      </w:pPr>
      <w:r>
        <w:rPr>
          <w:rFonts w:eastAsia="Calibri"/>
          <w:b/>
          <w:sz w:val="28"/>
          <w:lang w:val="en-US"/>
        </w:rPr>
        <w:t xml:space="preserve">Assessment of Impact of No-till Technology and Ploughing on Microbiome of Southern </w:t>
      </w:r>
      <w:proofErr w:type="spellStart"/>
      <w:r>
        <w:rPr>
          <w:rFonts w:eastAsia="Calibri"/>
          <w:b/>
          <w:sz w:val="28"/>
          <w:lang w:val="en-US"/>
        </w:rPr>
        <w:t>Agrochernozems</w:t>
      </w:r>
      <w:proofErr w:type="spellEnd"/>
    </w:p>
    <w:p w14:paraId="712B1905" w14:textId="77777777" w:rsidR="007A7959" w:rsidRDefault="007A7959" w:rsidP="007A7959">
      <w:pPr>
        <w:spacing w:line="360" w:lineRule="auto"/>
        <w:jc w:val="center"/>
        <w:rPr>
          <w:b/>
          <w:bCs/>
          <w:spacing w:val="-6"/>
          <w:sz w:val="28"/>
          <w:szCs w:val="28"/>
          <w:lang w:val="en-US"/>
        </w:rPr>
      </w:pPr>
    </w:p>
    <w:p w14:paraId="3104A03A" w14:textId="1983A24C" w:rsidR="007A7959" w:rsidRDefault="007A7959" w:rsidP="007A7959">
      <w:pPr>
        <w:spacing w:line="360" w:lineRule="auto"/>
        <w:jc w:val="center"/>
        <w:rPr>
          <w:rFonts w:eastAsia="Calibri"/>
          <w:sz w:val="28"/>
        </w:rPr>
      </w:pPr>
      <w:r w:rsidRPr="00C95107">
        <w:rPr>
          <w:rFonts w:eastAsia="Calibri"/>
          <w:sz w:val="28"/>
        </w:rPr>
        <w:t>Почвоведение. 2021. № 2.</w:t>
      </w:r>
    </w:p>
    <w:p w14:paraId="482CE407" w14:textId="0F6BAE26" w:rsidR="007B18B8" w:rsidRPr="00C95107" w:rsidRDefault="00C95107" w:rsidP="007A7959">
      <w:pPr>
        <w:spacing w:line="360" w:lineRule="auto"/>
        <w:jc w:val="center"/>
        <w:rPr>
          <w:rFonts w:eastAsia="Calibri"/>
          <w:sz w:val="28"/>
          <w:lang w:val="en-US"/>
        </w:rPr>
      </w:pPr>
      <w:r w:rsidRPr="00C95107">
        <w:rPr>
          <w:rFonts w:eastAsia="Calibri"/>
          <w:sz w:val="28"/>
          <w:lang w:val="en-US"/>
        </w:rPr>
        <w:t xml:space="preserve">  Eurasian Soil Science,  </w:t>
      </w:r>
    </w:p>
    <w:p w14:paraId="7D34AE3D" w14:textId="77777777" w:rsidR="007B18B8" w:rsidRDefault="007B18B8" w:rsidP="007B18B8">
      <w:pPr>
        <w:pStyle w:val="a3"/>
        <w:spacing w:before="0" w:beforeAutospacing="0" w:after="0" w:afterAutospacing="0"/>
        <w:jc w:val="center"/>
        <w:outlineLvl w:val="0"/>
        <w:rPr>
          <w:rFonts w:eastAsia="Times New Roman"/>
          <w:b/>
        </w:rPr>
      </w:pPr>
      <w:r>
        <w:rPr>
          <w:b/>
        </w:rPr>
        <w:t>© 2020 г. Д. А. Никитин</w:t>
      </w:r>
      <w:r>
        <w:rPr>
          <w:b/>
          <w:vertAlign w:val="superscript"/>
          <w:lang w:val="en-US"/>
        </w:rPr>
        <w:t>a</w:t>
      </w:r>
      <w:r>
        <w:rPr>
          <w:b/>
          <w:vertAlign w:val="superscript"/>
        </w:rPr>
        <w:t>,*</w:t>
      </w:r>
      <w:r>
        <w:rPr>
          <w:b/>
        </w:rPr>
        <w:t>, Е. А. Иванова</w:t>
      </w:r>
      <w:r>
        <w:rPr>
          <w:b/>
          <w:vertAlign w:val="superscript"/>
          <w:lang w:val="en-US"/>
        </w:rPr>
        <w:t>a</w:t>
      </w:r>
      <w:r>
        <w:rPr>
          <w:b/>
        </w:rPr>
        <w:t xml:space="preserve">, А. Д. </w:t>
      </w:r>
      <w:proofErr w:type="spellStart"/>
      <w:r>
        <w:rPr>
          <w:b/>
        </w:rPr>
        <w:t>Железова</w:t>
      </w:r>
      <w:proofErr w:type="spellEnd"/>
      <w:r>
        <w:rPr>
          <w:b/>
          <w:vertAlign w:val="superscript"/>
          <w:lang w:val="en-US"/>
        </w:rPr>
        <w:t>a</w:t>
      </w:r>
      <w:r>
        <w:rPr>
          <w:b/>
        </w:rPr>
        <w:t>, М. В. Семенов</w:t>
      </w:r>
      <w:r>
        <w:rPr>
          <w:b/>
          <w:vertAlign w:val="superscript"/>
          <w:lang w:val="en-US"/>
        </w:rPr>
        <w:t>a</w:t>
      </w:r>
      <w:r>
        <w:rPr>
          <w:b/>
        </w:rPr>
        <w:t xml:space="preserve">, </w:t>
      </w:r>
    </w:p>
    <w:p w14:paraId="690D6839" w14:textId="77777777" w:rsidR="007B18B8" w:rsidRDefault="007B18B8" w:rsidP="007B18B8">
      <w:pPr>
        <w:pStyle w:val="a3"/>
        <w:spacing w:before="0" w:beforeAutospacing="0" w:after="0" w:afterAutospacing="0"/>
        <w:jc w:val="center"/>
        <w:outlineLvl w:val="0"/>
        <w:rPr>
          <w:b/>
          <w:vertAlign w:val="superscript"/>
        </w:rPr>
      </w:pPr>
      <w:r>
        <w:rPr>
          <w:b/>
        </w:rPr>
        <w:t xml:space="preserve">Р. Г. </w:t>
      </w:r>
      <w:proofErr w:type="spellStart"/>
      <w:r>
        <w:rPr>
          <w:b/>
        </w:rPr>
        <w:t>Гаджиумаров</w:t>
      </w:r>
      <w:proofErr w:type="spellEnd"/>
      <w:r>
        <w:rPr>
          <w:b/>
          <w:vertAlign w:val="superscript"/>
          <w:lang w:val="en-US"/>
        </w:rPr>
        <w:t>b</w:t>
      </w:r>
      <w:r>
        <w:rPr>
          <w:b/>
        </w:rPr>
        <w:t xml:space="preserve">, А. К. </w:t>
      </w:r>
      <w:proofErr w:type="spellStart"/>
      <w:r>
        <w:rPr>
          <w:b/>
        </w:rPr>
        <w:t>Тхакахова</w:t>
      </w:r>
      <w:proofErr w:type="spellEnd"/>
      <w:r>
        <w:rPr>
          <w:b/>
          <w:vertAlign w:val="superscript"/>
          <w:lang w:val="en-US"/>
        </w:rPr>
        <w:t>a</w:t>
      </w:r>
      <w:r>
        <w:rPr>
          <w:b/>
        </w:rPr>
        <w:t>, Т. И. Чернов</w:t>
      </w:r>
      <w:r>
        <w:rPr>
          <w:b/>
          <w:vertAlign w:val="superscript"/>
          <w:lang w:val="en-US"/>
        </w:rPr>
        <w:t>a</w:t>
      </w:r>
      <w:r>
        <w:rPr>
          <w:b/>
        </w:rPr>
        <w:t>, Н. А. Ксенофонтова</w:t>
      </w:r>
      <w:r>
        <w:rPr>
          <w:b/>
          <w:vertAlign w:val="superscript"/>
          <w:lang w:val="en-US"/>
        </w:rPr>
        <w:t>a</w:t>
      </w:r>
      <w:r>
        <w:rPr>
          <w:b/>
        </w:rPr>
        <w:t xml:space="preserve">, О. В. </w:t>
      </w:r>
      <w:proofErr w:type="spellStart"/>
      <w:r>
        <w:rPr>
          <w:b/>
        </w:rPr>
        <w:t>Кутовая</w:t>
      </w:r>
      <w:proofErr w:type="spellEnd"/>
      <w:r>
        <w:rPr>
          <w:b/>
          <w:vertAlign w:val="superscript"/>
          <w:lang w:val="en-US"/>
        </w:rPr>
        <w:t>a</w:t>
      </w:r>
    </w:p>
    <w:p w14:paraId="1C0B7478" w14:textId="77777777" w:rsidR="00AF6E02" w:rsidRPr="00CC4AD3" w:rsidRDefault="00AF6E02">
      <w:pPr>
        <w:rPr>
          <w:rFonts w:ascii="Times New Roman" w:hAnsi="Times New Roman" w:cs="Times New Roman"/>
          <w:sz w:val="28"/>
        </w:rPr>
      </w:pPr>
      <w:r w:rsidRPr="00CC4AD3">
        <w:rPr>
          <w:rFonts w:ascii="Times New Roman" w:hAnsi="Times New Roman" w:cs="Times New Roman"/>
          <w:sz w:val="28"/>
        </w:rPr>
        <w:t xml:space="preserve">Таблица </w:t>
      </w:r>
      <w:r w:rsidRPr="00CC4AD3">
        <w:rPr>
          <w:rFonts w:ascii="Times New Roman" w:hAnsi="Times New Roman" w:cs="Times New Roman"/>
          <w:sz w:val="28"/>
          <w:lang w:val="en-US"/>
        </w:rPr>
        <w:t>S</w:t>
      </w:r>
      <w:r w:rsidRPr="00CC4AD3">
        <w:rPr>
          <w:rFonts w:ascii="Times New Roman" w:hAnsi="Times New Roman" w:cs="Times New Roman"/>
          <w:sz w:val="28"/>
        </w:rPr>
        <w:t xml:space="preserve">1. Процент вариации, объясненный каждой из </w:t>
      </w:r>
      <w:r w:rsidRPr="00CC4AD3">
        <w:rPr>
          <w:rFonts w:ascii="Times New Roman" w:hAnsi="Times New Roman" w:cs="Times New Roman"/>
          <w:sz w:val="28"/>
          <w:lang w:val="en-US"/>
        </w:rPr>
        <w:t>PC</w:t>
      </w:r>
      <w:r w:rsidRPr="00CC4AD3">
        <w:rPr>
          <w:rFonts w:ascii="Times New Roman" w:hAnsi="Times New Roman" w:cs="Times New Roman"/>
          <w:sz w:val="28"/>
        </w:rPr>
        <w:t>-осей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6E02" w:rsidRPr="00CC4AD3" w14:paraId="1C0B747A" w14:textId="77777777" w:rsidTr="00571033">
        <w:tc>
          <w:tcPr>
            <w:tcW w:w="9571" w:type="dxa"/>
            <w:gridSpan w:val="4"/>
          </w:tcPr>
          <w:p w14:paraId="1C0B7479" w14:textId="77777777" w:rsidR="00AF6E02" w:rsidRPr="00CC4AD3" w:rsidRDefault="00AF6E02" w:rsidP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 xml:space="preserve">По данным </w:t>
            </w:r>
            <w:r w:rsidR="00CC4AD3" w:rsidRPr="00CC4AD3">
              <w:rPr>
                <w:rFonts w:ascii="Times New Roman" w:hAnsi="Times New Roman" w:cs="Times New Roman"/>
                <w:sz w:val="28"/>
              </w:rPr>
              <w:t>корреляционного анализа</w:t>
            </w:r>
          </w:p>
        </w:tc>
      </w:tr>
      <w:tr w:rsidR="00AF6E02" w:rsidRPr="00CC4AD3" w14:paraId="1C0B747F" w14:textId="77777777" w:rsidTr="00AF6E02">
        <w:tc>
          <w:tcPr>
            <w:tcW w:w="2392" w:type="dxa"/>
          </w:tcPr>
          <w:p w14:paraId="1C0B747B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4AD3">
              <w:rPr>
                <w:rFonts w:ascii="Times New Roman" w:hAnsi="Times New Roman" w:cs="Times New Roman"/>
                <w:sz w:val="28"/>
                <w:lang w:val="en-US"/>
              </w:rPr>
              <w:t>PC</w:t>
            </w:r>
          </w:p>
        </w:tc>
        <w:tc>
          <w:tcPr>
            <w:tcW w:w="2393" w:type="dxa"/>
          </w:tcPr>
          <w:p w14:paraId="1C0B747C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Собственное значение (</w:t>
            </w:r>
            <w:r w:rsidRPr="00CC4AD3">
              <w:rPr>
                <w:rFonts w:ascii="Times New Roman" w:hAnsi="Times New Roman" w:cs="Times New Roman"/>
                <w:sz w:val="28"/>
                <w:lang w:val="en-US"/>
              </w:rPr>
              <w:t>Eigenvalue</w:t>
            </w:r>
            <w:r w:rsidRPr="00CC4AD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93" w:type="dxa"/>
          </w:tcPr>
          <w:p w14:paraId="1C0B747D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Объясненная вариация (%)</w:t>
            </w:r>
          </w:p>
        </w:tc>
        <w:tc>
          <w:tcPr>
            <w:tcW w:w="2393" w:type="dxa"/>
          </w:tcPr>
          <w:p w14:paraId="1C0B747E" w14:textId="77777777" w:rsidR="00AF6E02" w:rsidRPr="00CC4AD3" w:rsidRDefault="00AF6E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E02" w:rsidRPr="00CC4AD3" w14:paraId="1C0B7484" w14:textId="77777777" w:rsidTr="00AF6E02">
        <w:tc>
          <w:tcPr>
            <w:tcW w:w="2392" w:type="dxa"/>
          </w:tcPr>
          <w:p w14:paraId="1C0B7480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4AD3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2393" w:type="dxa"/>
          </w:tcPr>
          <w:p w14:paraId="1C0B7481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1.95036E21</w:t>
            </w:r>
          </w:p>
        </w:tc>
        <w:tc>
          <w:tcPr>
            <w:tcW w:w="2393" w:type="dxa"/>
          </w:tcPr>
          <w:p w14:paraId="1C0B7482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97.38</w:t>
            </w:r>
          </w:p>
        </w:tc>
        <w:tc>
          <w:tcPr>
            <w:tcW w:w="2393" w:type="dxa"/>
          </w:tcPr>
          <w:p w14:paraId="1C0B7483" w14:textId="77777777" w:rsidR="00AF6E02" w:rsidRPr="00CC4AD3" w:rsidRDefault="00AF6E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E02" w:rsidRPr="00CC4AD3" w14:paraId="1C0B7489" w14:textId="77777777" w:rsidTr="00AF6E02">
        <w:tc>
          <w:tcPr>
            <w:tcW w:w="2392" w:type="dxa"/>
          </w:tcPr>
          <w:p w14:paraId="1C0B7485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4AD3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2393" w:type="dxa"/>
          </w:tcPr>
          <w:p w14:paraId="1C0B7486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4.56779E19</w:t>
            </w:r>
          </w:p>
        </w:tc>
        <w:tc>
          <w:tcPr>
            <w:tcW w:w="2393" w:type="dxa"/>
          </w:tcPr>
          <w:p w14:paraId="1C0B7487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2.2807</w:t>
            </w:r>
          </w:p>
        </w:tc>
        <w:tc>
          <w:tcPr>
            <w:tcW w:w="2393" w:type="dxa"/>
          </w:tcPr>
          <w:p w14:paraId="1C0B7488" w14:textId="77777777" w:rsidR="00AF6E02" w:rsidRPr="00CC4AD3" w:rsidRDefault="00AF6E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F6E02" w:rsidRPr="00CC4AD3" w14:paraId="1C0B748E" w14:textId="77777777" w:rsidTr="00AF6E02">
        <w:tc>
          <w:tcPr>
            <w:tcW w:w="2392" w:type="dxa"/>
          </w:tcPr>
          <w:p w14:paraId="1C0B748A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CC4AD3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393" w:type="dxa"/>
          </w:tcPr>
          <w:p w14:paraId="1C0B748B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6.79746E18</w:t>
            </w:r>
          </w:p>
        </w:tc>
        <w:tc>
          <w:tcPr>
            <w:tcW w:w="2393" w:type="dxa"/>
          </w:tcPr>
          <w:p w14:paraId="1C0B748C" w14:textId="77777777" w:rsidR="00AF6E02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0.33939</w:t>
            </w:r>
          </w:p>
        </w:tc>
        <w:tc>
          <w:tcPr>
            <w:tcW w:w="2393" w:type="dxa"/>
          </w:tcPr>
          <w:p w14:paraId="1C0B748D" w14:textId="77777777" w:rsidR="00AF6E02" w:rsidRPr="00CC4AD3" w:rsidRDefault="00AF6E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4AD3" w:rsidRPr="00CC4AD3" w14:paraId="1C0B7490" w14:textId="77777777" w:rsidTr="00FC29FE">
        <w:tc>
          <w:tcPr>
            <w:tcW w:w="9571" w:type="dxa"/>
            <w:gridSpan w:val="4"/>
          </w:tcPr>
          <w:p w14:paraId="1C0B748F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По данным ковариационного анализа</w:t>
            </w:r>
          </w:p>
        </w:tc>
      </w:tr>
      <w:tr w:rsidR="00CC4AD3" w:rsidRPr="00CC4AD3" w14:paraId="1C0B7495" w14:textId="77777777" w:rsidTr="00AF6E02">
        <w:tc>
          <w:tcPr>
            <w:tcW w:w="2392" w:type="dxa"/>
          </w:tcPr>
          <w:p w14:paraId="1C0B7491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14:paraId="1C0B7492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1.9927</w:t>
            </w:r>
          </w:p>
        </w:tc>
        <w:tc>
          <w:tcPr>
            <w:tcW w:w="2393" w:type="dxa"/>
          </w:tcPr>
          <w:p w14:paraId="1C0B7493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66.423</w:t>
            </w:r>
          </w:p>
        </w:tc>
        <w:tc>
          <w:tcPr>
            <w:tcW w:w="2393" w:type="dxa"/>
          </w:tcPr>
          <w:p w14:paraId="1C0B7494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4AD3" w:rsidRPr="00CC4AD3" w14:paraId="1C0B749A" w14:textId="77777777" w:rsidTr="00AF6E02">
        <w:tc>
          <w:tcPr>
            <w:tcW w:w="2392" w:type="dxa"/>
          </w:tcPr>
          <w:p w14:paraId="1C0B7496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14:paraId="1C0B7497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0.88711</w:t>
            </w:r>
          </w:p>
        </w:tc>
        <w:tc>
          <w:tcPr>
            <w:tcW w:w="2393" w:type="dxa"/>
          </w:tcPr>
          <w:p w14:paraId="1C0B7498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29.57</w:t>
            </w:r>
          </w:p>
        </w:tc>
        <w:tc>
          <w:tcPr>
            <w:tcW w:w="2393" w:type="dxa"/>
          </w:tcPr>
          <w:p w14:paraId="1C0B7499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C4AD3" w:rsidRPr="00CC4AD3" w14:paraId="1C0B749F" w14:textId="77777777" w:rsidTr="00AF6E02">
        <w:tc>
          <w:tcPr>
            <w:tcW w:w="2392" w:type="dxa"/>
          </w:tcPr>
          <w:p w14:paraId="1C0B749B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93" w:type="dxa"/>
          </w:tcPr>
          <w:p w14:paraId="1C0B749C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0.120185</w:t>
            </w:r>
          </w:p>
        </w:tc>
        <w:tc>
          <w:tcPr>
            <w:tcW w:w="2393" w:type="dxa"/>
          </w:tcPr>
          <w:p w14:paraId="1C0B749D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  <w:r w:rsidRPr="00CC4AD3">
              <w:rPr>
                <w:rFonts w:ascii="Times New Roman" w:hAnsi="Times New Roman" w:cs="Times New Roman"/>
                <w:sz w:val="28"/>
              </w:rPr>
              <w:t>4.0062</w:t>
            </w:r>
          </w:p>
        </w:tc>
        <w:tc>
          <w:tcPr>
            <w:tcW w:w="2393" w:type="dxa"/>
          </w:tcPr>
          <w:p w14:paraId="1C0B749E" w14:textId="77777777" w:rsidR="00CC4AD3" w:rsidRPr="00CC4AD3" w:rsidRDefault="00CC4A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0B74A0" w14:textId="77777777" w:rsidR="00AF6E02" w:rsidRDefault="00AF6E02"/>
    <w:p w14:paraId="1C0B74A1" w14:textId="77777777" w:rsidR="00AF6E02" w:rsidRDefault="00D50ABB">
      <w:r>
        <w:rPr>
          <w:noProof/>
          <w:lang w:eastAsia="ru-RU"/>
        </w:rPr>
        <w:lastRenderedPageBreak/>
        <w:drawing>
          <wp:inline distT="0" distB="0" distL="0" distR="0" wp14:anchorId="1C0B74A3" wp14:editId="1C0B74A4">
            <wp:extent cx="5860445" cy="351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839" cy="35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74A2" w14:textId="77777777" w:rsidR="00AF6E02" w:rsidRPr="005A4614" w:rsidRDefault="00AF6E02">
      <w:pPr>
        <w:rPr>
          <w:rFonts w:ascii="Times New Roman" w:hAnsi="Times New Roman" w:cs="Times New Roman"/>
          <w:sz w:val="28"/>
        </w:rPr>
      </w:pPr>
      <w:r w:rsidRPr="005A4614">
        <w:rPr>
          <w:rFonts w:ascii="Times New Roman" w:hAnsi="Times New Roman" w:cs="Times New Roman"/>
          <w:sz w:val="28"/>
        </w:rPr>
        <w:t xml:space="preserve">Рис. </w:t>
      </w:r>
      <w:r w:rsidR="00CC4AD3" w:rsidRPr="005A4614">
        <w:rPr>
          <w:rFonts w:ascii="Times New Roman" w:hAnsi="Times New Roman" w:cs="Times New Roman"/>
          <w:sz w:val="28"/>
          <w:lang w:val="en-US"/>
        </w:rPr>
        <w:t>S</w:t>
      </w:r>
      <w:r w:rsidR="00CC4AD3" w:rsidRPr="001E646E">
        <w:rPr>
          <w:rFonts w:ascii="Times New Roman" w:hAnsi="Times New Roman" w:cs="Times New Roman"/>
          <w:sz w:val="28"/>
        </w:rPr>
        <w:t>1</w:t>
      </w:r>
      <w:r w:rsidRPr="005A4614">
        <w:rPr>
          <w:rFonts w:ascii="Times New Roman" w:hAnsi="Times New Roman" w:cs="Times New Roman"/>
          <w:sz w:val="28"/>
        </w:rPr>
        <w:t xml:space="preserve">. Параметрическая модель влияния фактора обработки почвы на структуру </w:t>
      </w:r>
      <w:proofErr w:type="spellStart"/>
      <w:r w:rsidRPr="005A4614">
        <w:rPr>
          <w:rFonts w:ascii="Times New Roman" w:hAnsi="Times New Roman" w:cs="Times New Roman"/>
          <w:sz w:val="28"/>
        </w:rPr>
        <w:t>микробиома</w:t>
      </w:r>
      <w:proofErr w:type="spellEnd"/>
      <w:r w:rsidRPr="005A4614">
        <w:rPr>
          <w:rFonts w:ascii="Times New Roman" w:hAnsi="Times New Roman" w:cs="Times New Roman"/>
          <w:sz w:val="28"/>
        </w:rPr>
        <w:t>.</w:t>
      </w:r>
    </w:p>
    <w:sectPr w:rsidR="00AF6E02" w:rsidRPr="005A4614" w:rsidSect="0065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02"/>
    <w:rsid w:val="001E646E"/>
    <w:rsid w:val="00537F93"/>
    <w:rsid w:val="005A4614"/>
    <w:rsid w:val="00655353"/>
    <w:rsid w:val="007A7959"/>
    <w:rsid w:val="007B18B8"/>
    <w:rsid w:val="009A31E6"/>
    <w:rsid w:val="00AF6E02"/>
    <w:rsid w:val="00C95107"/>
    <w:rsid w:val="00CC4AD3"/>
    <w:rsid w:val="00D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7477"/>
  <w15:docId w15:val="{3C22AB29-02AC-45F4-9F3F-94264C4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46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A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dc:description/>
  <cp:lastModifiedBy>Елена Манахова</cp:lastModifiedBy>
  <cp:revision>6</cp:revision>
  <dcterms:created xsi:type="dcterms:W3CDTF">2020-06-01T21:00:00Z</dcterms:created>
  <dcterms:modified xsi:type="dcterms:W3CDTF">2020-06-02T14:45:00Z</dcterms:modified>
</cp:coreProperties>
</file>