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3B03" w14:textId="77777777" w:rsidR="0003485C" w:rsidRPr="009D3BB0" w:rsidRDefault="0003485C" w:rsidP="00817C30">
      <w:pPr>
        <w:rPr>
          <w:b/>
          <w:bCs/>
          <w:sz w:val="23"/>
          <w:szCs w:val="23"/>
          <w:lang w:val="en-US"/>
        </w:rPr>
      </w:pPr>
      <w:r w:rsidRPr="003C31DF">
        <w:rPr>
          <w:b/>
          <w:bCs/>
          <w:sz w:val="23"/>
          <w:szCs w:val="23"/>
          <w:lang w:val="en-US"/>
        </w:rPr>
        <w:t xml:space="preserve">SUPPLEMENTARY MATERIALS – </w:t>
      </w:r>
      <w:r>
        <w:rPr>
          <w:b/>
          <w:bCs/>
          <w:sz w:val="23"/>
          <w:szCs w:val="23"/>
        </w:rPr>
        <w:t>ДОПОЛНИТЕЛЬНЫЕ</w:t>
      </w:r>
      <w:r w:rsidRPr="003C31DF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МАТЕРИАЛЫ</w:t>
      </w:r>
    </w:p>
    <w:p w14:paraId="6033CD9C" w14:textId="77777777" w:rsidR="003C31DF" w:rsidRPr="003C31DF" w:rsidRDefault="003C31DF" w:rsidP="00817C30">
      <w:pPr>
        <w:rPr>
          <w:lang w:val="en-US"/>
        </w:rPr>
      </w:pPr>
    </w:p>
    <w:p w14:paraId="3E63CC9D" w14:textId="77777777" w:rsidR="00A37E5C" w:rsidRPr="00A37E5C" w:rsidRDefault="00A37E5C" w:rsidP="00817C3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</w:t>
      </w:r>
      <w:r w:rsidR="003C31DF" w:rsidRPr="003C31DF">
        <w:rPr>
          <w:b/>
          <w:sz w:val="28"/>
          <w:szCs w:val="28"/>
          <w:lang w:val="en-US"/>
        </w:rPr>
        <w:t xml:space="preserve"> integrated application of geoelectric methods in mapping soil inhomogeneities </w:t>
      </w:r>
    </w:p>
    <w:p w14:paraId="15AD6EF1" w14:textId="77777777" w:rsidR="00A00371" w:rsidRDefault="003C31DF" w:rsidP="00817C30">
      <w:pPr>
        <w:rPr>
          <w:b/>
          <w:sz w:val="28"/>
          <w:szCs w:val="28"/>
        </w:rPr>
      </w:pPr>
      <w:r w:rsidRPr="003C31DF">
        <w:rPr>
          <w:b/>
          <w:sz w:val="28"/>
          <w:szCs w:val="28"/>
        </w:rPr>
        <w:t>Комплексное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использование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электроразведочных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методов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для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картирования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почвенных</w:t>
      </w:r>
      <w:r w:rsidRPr="00A37E5C">
        <w:rPr>
          <w:b/>
          <w:sz w:val="28"/>
          <w:szCs w:val="28"/>
        </w:rPr>
        <w:t xml:space="preserve"> </w:t>
      </w:r>
      <w:r w:rsidRPr="003C31DF">
        <w:rPr>
          <w:b/>
          <w:sz w:val="28"/>
          <w:szCs w:val="28"/>
        </w:rPr>
        <w:t>неоднородностей</w:t>
      </w:r>
    </w:p>
    <w:p w14:paraId="3985C71A" w14:textId="77777777" w:rsidR="003C31DF" w:rsidRPr="00A37E5C" w:rsidRDefault="003C31DF" w:rsidP="00817C30"/>
    <w:p w14:paraId="5C340916" w14:textId="77777777" w:rsidR="003C31DF" w:rsidRPr="003C31DF" w:rsidRDefault="003C31DF" w:rsidP="000E45C4">
      <w:pPr>
        <w:rPr>
          <w:lang w:val="en-US"/>
        </w:rPr>
      </w:pPr>
      <w:r w:rsidRPr="003C31DF">
        <w:rPr>
          <w:lang w:val="en-US"/>
        </w:rPr>
        <w:t>P.A. Ryazantsev*, O.N. Bakhmet</w:t>
      </w:r>
    </w:p>
    <w:p w14:paraId="534D6642" w14:textId="77777777" w:rsidR="000E45C4" w:rsidRPr="003C31DF" w:rsidRDefault="003C31DF" w:rsidP="000E45C4">
      <w:pPr>
        <w:rPr>
          <w:b/>
        </w:rPr>
      </w:pPr>
      <w:r>
        <w:rPr>
          <w:b/>
        </w:rPr>
        <w:t>П</w:t>
      </w:r>
      <w:r w:rsidRPr="003C31DF">
        <w:rPr>
          <w:b/>
        </w:rPr>
        <w:t>.</w:t>
      </w:r>
      <w:r>
        <w:rPr>
          <w:b/>
        </w:rPr>
        <w:t>А. Рязанцев</w:t>
      </w:r>
      <w:r w:rsidR="000E45C4" w:rsidRPr="003C31DF">
        <w:rPr>
          <w:b/>
        </w:rPr>
        <w:t xml:space="preserve">, </w:t>
      </w:r>
      <w:r>
        <w:rPr>
          <w:b/>
        </w:rPr>
        <w:t>О.Н. Бахмет</w:t>
      </w:r>
    </w:p>
    <w:p w14:paraId="5B58E6F0" w14:textId="77777777" w:rsidR="000945E4" w:rsidRPr="003C31DF" w:rsidRDefault="000945E4" w:rsidP="000E45C4">
      <w:pPr>
        <w:rPr>
          <w:b/>
          <w:sz w:val="28"/>
          <w:szCs w:val="28"/>
        </w:rPr>
      </w:pPr>
    </w:p>
    <w:p w14:paraId="7CA073C7" w14:textId="77777777" w:rsidR="00A00371" w:rsidRPr="003C31DF" w:rsidRDefault="000945E4" w:rsidP="000E45C4">
      <w:pPr>
        <w:rPr>
          <w:b/>
          <w:lang w:val="en-US"/>
        </w:rPr>
      </w:pPr>
      <w:r w:rsidRPr="000945E4">
        <w:rPr>
          <w:b/>
          <w:sz w:val="28"/>
          <w:szCs w:val="28"/>
          <w:lang w:val="en-US"/>
        </w:rPr>
        <w:t>Eurasian</w:t>
      </w:r>
      <w:r w:rsidRPr="003C31DF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Soil</w:t>
      </w:r>
      <w:r w:rsidRPr="003C31DF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Science</w:t>
      </w:r>
      <w:r w:rsidRPr="003C31DF">
        <w:rPr>
          <w:b/>
          <w:sz w:val="28"/>
          <w:szCs w:val="28"/>
          <w:lang w:val="en-US"/>
        </w:rPr>
        <w:t>.</w:t>
      </w:r>
    </w:p>
    <w:p w14:paraId="32869D65" w14:textId="77777777" w:rsidR="000945E4" w:rsidRPr="00A37E5C" w:rsidRDefault="000945E4" w:rsidP="000945E4">
      <w:pPr>
        <w:spacing w:line="360" w:lineRule="auto"/>
        <w:contextualSpacing/>
        <w:rPr>
          <w:b/>
          <w:sz w:val="28"/>
          <w:szCs w:val="28"/>
        </w:rPr>
      </w:pPr>
      <w:r w:rsidRPr="000945E4">
        <w:rPr>
          <w:b/>
          <w:sz w:val="28"/>
          <w:szCs w:val="28"/>
        </w:rPr>
        <w:t>Почвоведение</w:t>
      </w:r>
      <w:r w:rsidR="00A37E5C">
        <w:rPr>
          <w:b/>
          <w:sz w:val="28"/>
          <w:szCs w:val="28"/>
          <w:lang w:val="en-US"/>
        </w:rPr>
        <w:t>.</w:t>
      </w:r>
    </w:p>
    <w:p w14:paraId="7150E828" w14:textId="77777777" w:rsidR="00F36C24" w:rsidRPr="003C31DF" w:rsidRDefault="003C31DF" w:rsidP="00EF6565">
      <w:pPr>
        <w:spacing w:line="360" w:lineRule="auto"/>
        <w:ind w:hanging="284"/>
        <w:contextualSpacing/>
        <w:rPr>
          <w:sz w:val="28"/>
          <w:szCs w:val="28"/>
          <w:lang w:val="en-US"/>
        </w:rPr>
      </w:pPr>
      <w:r w:rsidRPr="003C31DF">
        <w:rPr>
          <w:noProof/>
          <w:sz w:val="28"/>
          <w:szCs w:val="28"/>
          <w:lang w:val="en-US"/>
        </w:rPr>
        <w:drawing>
          <wp:inline distT="0" distB="0" distL="0" distR="0" wp14:anchorId="444E872A" wp14:editId="13A425E9">
            <wp:extent cx="4202076" cy="4022850"/>
            <wp:effectExtent l="19050" t="0" r="7974" b="0"/>
            <wp:docPr id="2" name="Рисунок 1" descr="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640" cy="40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36C6" w14:textId="77777777" w:rsidR="00B927A4" w:rsidRPr="00731E25" w:rsidRDefault="000E45C4" w:rsidP="00B927A4">
      <w:pPr>
        <w:spacing w:line="360" w:lineRule="auto"/>
        <w:contextualSpacing/>
        <w:rPr>
          <w:sz w:val="28"/>
          <w:szCs w:val="28"/>
          <w:lang w:val="en-US"/>
        </w:rPr>
      </w:pPr>
      <w:r w:rsidRPr="00EC0646">
        <w:rPr>
          <w:b/>
          <w:sz w:val="28"/>
          <w:szCs w:val="28"/>
          <w:lang w:val="en-US"/>
        </w:rPr>
        <w:t>Fig. S1.</w:t>
      </w:r>
      <w:r w:rsidRPr="000E45C4">
        <w:rPr>
          <w:sz w:val="28"/>
          <w:szCs w:val="28"/>
          <w:lang w:val="en-US"/>
        </w:rPr>
        <w:t xml:space="preserve"> </w:t>
      </w:r>
      <w:r w:rsidR="00731E25" w:rsidRPr="00731E25">
        <w:rPr>
          <w:sz w:val="28"/>
          <w:szCs w:val="28"/>
          <w:lang w:val="en-US"/>
        </w:rPr>
        <w:t>Soil map of the study area [10].</w:t>
      </w:r>
    </w:p>
    <w:p w14:paraId="0C2D27AB" w14:textId="77777777" w:rsidR="003C31DF" w:rsidRPr="00D23588" w:rsidRDefault="00A00371" w:rsidP="003C31DF">
      <w:pPr>
        <w:pStyle w:val="BodyLNoTab"/>
      </w:pPr>
      <w:r>
        <w:rPr>
          <w:b/>
          <w:szCs w:val="28"/>
        </w:rPr>
        <w:t>Рис</w:t>
      </w:r>
      <w:r w:rsidRPr="009D3BB0">
        <w:rPr>
          <w:b/>
          <w:szCs w:val="28"/>
        </w:rPr>
        <w:t xml:space="preserve">. </w:t>
      </w:r>
      <w:r w:rsidRPr="00EC0646">
        <w:rPr>
          <w:b/>
          <w:szCs w:val="28"/>
          <w:lang w:val="en-US"/>
        </w:rPr>
        <w:t>S</w:t>
      </w:r>
      <w:r w:rsidRPr="009D3BB0">
        <w:rPr>
          <w:b/>
          <w:szCs w:val="28"/>
        </w:rPr>
        <w:t>1.</w:t>
      </w:r>
      <w:r w:rsidRPr="009D3BB0">
        <w:rPr>
          <w:szCs w:val="28"/>
        </w:rPr>
        <w:t xml:space="preserve"> </w:t>
      </w:r>
      <w:r w:rsidR="003C31DF" w:rsidRPr="00D23588">
        <w:t>Почвенная карта района работ [10]</w:t>
      </w:r>
      <w:r w:rsidR="003C31DF">
        <w:t>.</w:t>
      </w:r>
    </w:p>
    <w:p w14:paraId="3B578784" w14:textId="77777777" w:rsidR="003C31DF" w:rsidRDefault="003C31DF" w:rsidP="00F73BF7">
      <w:pPr>
        <w:pStyle w:val="BodyLNoTab"/>
        <w:spacing w:line="240" w:lineRule="auto"/>
        <w:rPr>
          <w:sz w:val="24"/>
        </w:rPr>
      </w:pPr>
      <w:r w:rsidRPr="00F73BF7">
        <w:rPr>
          <w:sz w:val="24"/>
        </w:rPr>
        <w:t>Болотные почвы (1–5): 1 – верховые торфяные, 2 – низинно-переходные и низинные торфяно-перегнойные, 3 – переходно-низинные торфяные, 4 – смешанные торфяные, 5 – торфяные неопределенные. Буроземы (6–10): 6 – антропогенно-измененные, 7 – глеевые глинистые, 8 – оподзоленные, 9 – темноцветные на силикатной морене с большим включением шунгитовых пород, 10 – темноцветные шунгитовые на шунгитовых сланцах; 11 – не идентифицированные почвы островов; 12 – поверхностно-позолистые песчаные каменисто-валунные; 13 – подбуры типичные. Подзолистые (14–16): 14 – антропогенно-измененные, 15 – суглинистые, 16 – супесчаные. Подзолы (17–22): 17 – иллювиально-гумусово-железистые пылевато-песчаные и супесчаные, 18 – иллювиально-железистые, 19 – иллювиально-железистые песчано-гравийные, 20 – иллювиально-железистые тонкопесчаные, 21 – иллювиально-железисто-гумусовые торфянистые, 22 – иллювиально-гумусовые торфяные.</w:t>
      </w:r>
    </w:p>
    <w:p w14:paraId="27F695DE" w14:textId="77777777" w:rsidR="00F73BF7" w:rsidRDefault="00F73BF7" w:rsidP="00F73BF7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4F1258" wp14:editId="437F845F">
            <wp:extent cx="5940425" cy="1950085"/>
            <wp:effectExtent l="19050" t="0" r="3175" b="0"/>
            <wp:docPr id="5" name="Рисунок 4" descr="Рис.6_цвет_Ряза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6_цвет_Рязанце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20FE" w14:textId="2C912F1E" w:rsidR="00F73BF7" w:rsidRPr="006C6ED9" w:rsidRDefault="00F73BF7" w:rsidP="00F73BF7">
      <w:pPr>
        <w:spacing w:line="360" w:lineRule="auto"/>
        <w:contextualSpacing/>
        <w:rPr>
          <w:sz w:val="28"/>
          <w:szCs w:val="28"/>
          <w:lang w:val="en-US"/>
        </w:rPr>
      </w:pPr>
      <w:r w:rsidRPr="00EC0646">
        <w:rPr>
          <w:b/>
          <w:sz w:val="28"/>
          <w:szCs w:val="28"/>
          <w:lang w:val="en-US"/>
        </w:rPr>
        <w:t>Fig. S</w:t>
      </w:r>
      <w:r w:rsidR="009D3BB0">
        <w:rPr>
          <w:b/>
          <w:sz w:val="28"/>
          <w:szCs w:val="28"/>
          <w:lang w:val="en-US"/>
        </w:rPr>
        <w:t>2</w:t>
      </w:r>
      <w:r w:rsidRPr="00EC0646">
        <w:rPr>
          <w:b/>
          <w:sz w:val="28"/>
          <w:szCs w:val="28"/>
          <w:lang w:val="en-US"/>
        </w:rPr>
        <w:t>.</w:t>
      </w:r>
      <w:r w:rsidRPr="000E45C4">
        <w:rPr>
          <w:sz w:val="28"/>
          <w:szCs w:val="28"/>
          <w:lang w:val="en-US"/>
        </w:rPr>
        <w:t xml:space="preserve"> </w:t>
      </w:r>
      <w:r w:rsidRPr="00F73BF7">
        <w:rPr>
          <w:sz w:val="28"/>
          <w:szCs w:val="28"/>
          <w:lang w:val="en-US"/>
        </w:rPr>
        <w:t xml:space="preserve">Diagrams of comparison of </w:t>
      </w:r>
      <w:r w:rsidRPr="00F73BF7"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  <w:vertAlign w:val="subscript"/>
          <w:lang w:val="en-US"/>
        </w:rPr>
        <w:t>rel</w:t>
      </w:r>
      <w:r w:rsidRPr="00F73BF7">
        <w:rPr>
          <w:sz w:val="28"/>
          <w:szCs w:val="28"/>
          <w:lang w:val="en-US"/>
        </w:rPr>
        <w:t xml:space="preserve"> values with elevations</w:t>
      </w:r>
      <w:r>
        <w:rPr>
          <w:sz w:val="28"/>
          <w:szCs w:val="28"/>
          <w:lang w:val="en-US"/>
        </w:rPr>
        <w:t xml:space="preserve">, </w:t>
      </w:r>
      <w:r w:rsidRPr="00F73BF7">
        <w:rPr>
          <w:i/>
          <w:sz w:val="28"/>
        </w:rPr>
        <w:t>ρ</w:t>
      </w:r>
      <w:r w:rsidRPr="00F73BF7">
        <w:rPr>
          <w:i/>
          <w:sz w:val="28"/>
          <w:vertAlign w:val="subscript"/>
          <w:lang w:val="en-US"/>
        </w:rPr>
        <w:t xml:space="preserve">k </w:t>
      </w:r>
      <w:r>
        <w:rPr>
          <w:sz w:val="28"/>
          <w:lang w:val="en-US"/>
        </w:rPr>
        <w:t xml:space="preserve"> and </w:t>
      </w:r>
      <w:r w:rsidRPr="00F73BF7">
        <w:rPr>
          <w:i/>
          <w:sz w:val="28"/>
        </w:rPr>
        <w:t>η</w:t>
      </w:r>
      <w:r w:rsidRPr="00F73BF7">
        <w:rPr>
          <w:i/>
          <w:sz w:val="28"/>
          <w:vertAlign w:val="subscript"/>
          <w:lang w:val="en-US"/>
        </w:rPr>
        <w:t>k</w:t>
      </w:r>
      <w:r w:rsidRPr="00F73BF7">
        <w:rPr>
          <w:sz w:val="28"/>
          <w:lang w:val="en-US"/>
        </w:rPr>
        <w:t xml:space="preserve"> </w:t>
      </w:r>
      <w:r>
        <w:rPr>
          <w:sz w:val="28"/>
          <w:lang w:val="en-US"/>
        </w:rPr>
        <w:t>(n=35)</w:t>
      </w:r>
      <w:r w:rsidR="006C6ED9" w:rsidRPr="006C6ED9">
        <w:rPr>
          <w:sz w:val="28"/>
          <w:lang w:val="en-US"/>
        </w:rPr>
        <w:t>.</w:t>
      </w:r>
    </w:p>
    <w:p w14:paraId="665E84B7" w14:textId="58C959D4" w:rsidR="00F73BF7" w:rsidRPr="005539C9" w:rsidRDefault="00F73BF7" w:rsidP="00F73BF7">
      <w:pPr>
        <w:pStyle w:val="BodyLNoTab"/>
      </w:pPr>
      <w:r>
        <w:rPr>
          <w:b/>
          <w:szCs w:val="28"/>
        </w:rPr>
        <w:t>Рис</w:t>
      </w:r>
      <w:r w:rsidRPr="00F73BF7">
        <w:rPr>
          <w:b/>
          <w:szCs w:val="28"/>
        </w:rPr>
        <w:t xml:space="preserve">. </w:t>
      </w:r>
      <w:r w:rsidRPr="00EC0646">
        <w:rPr>
          <w:b/>
          <w:szCs w:val="28"/>
          <w:lang w:val="en-US"/>
        </w:rPr>
        <w:t>S</w:t>
      </w:r>
      <w:r w:rsidR="009D3BB0" w:rsidRPr="006C6ED9">
        <w:rPr>
          <w:b/>
          <w:szCs w:val="28"/>
        </w:rPr>
        <w:t>2</w:t>
      </w:r>
      <w:r w:rsidRPr="00F73BF7">
        <w:rPr>
          <w:b/>
          <w:szCs w:val="28"/>
        </w:rPr>
        <w:t>.</w:t>
      </w:r>
      <w:r w:rsidRPr="00F73BF7">
        <w:rPr>
          <w:szCs w:val="28"/>
        </w:rPr>
        <w:t xml:space="preserve"> </w:t>
      </w:r>
      <w:r w:rsidRPr="005539C9">
        <w:t xml:space="preserve">Диаграммы сопоставления </w:t>
      </w:r>
      <w:r>
        <w:t xml:space="preserve">значений </w:t>
      </w:r>
      <w:r w:rsidRPr="005539C9">
        <w:rPr>
          <w:i/>
          <w:lang w:val="en-US"/>
        </w:rPr>
        <w:t>W</w:t>
      </w:r>
      <w:r w:rsidRPr="005539C9">
        <w:rPr>
          <w:i/>
          <w:vertAlign w:val="subscript"/>
        </w:rPr>
        <w:t>отн</w:t>
      </w:r>
      <w:r>
        <w:t xml:space="preserve"> </w:t>
      </w:r>
      <w:r w:rsidRPr="005539C9">
        <w:t xml:space="preserve">с высотными отметками, </w:t>
      </w:r>
      <w:r w:rsidRPr="005539C9">
        <w:rPr>
          <w:i/>
        </w:rPr>
        <w:t>ρ</w:t>
      </w:r>
      <w:r w:rsidRPr="005539C9">
        <w:rPr>
          <w:i/>
          <w:vertAlign w:val="subscript"/>
          <w:lang w:val="en-US"/>
        </w:rPr>
        <w:t>k</w:t>
      </w:r>
      <w:r w:rsidRPr="005539C9">
        <w:rPr>
          <w:i/>
          <w:vertAlign w:val="subscript"/>
        </w:rPr>
        <w:t xml:space="preserve"> </w:t>
      </w:r>
      <w:r w:rsidRPr="005539C9">
        <w:t xml:space="preserve">и </w:t>
      </w:r>
      <w:r w:rsidRPr="005539C9">
        <w:rPr>
          <w:i/>
        </w:rPr>
        <w:t>η</w:t>
      </w:r>
      <w:r w:rsidRPr="005539C9">
        <w:rPr>
          <w:i/>
          <w:vertAlign w:val="subscript"/>
          <w:lang w:val="en-US"/>
        </w:rPr>
        <w:t>k</w:t>
      </w:r>
      <w:r w:rsidRPr="005539C9">
        <w:rPr>
          <w:i/>
          <w:vertAlign w:val="subscript"/>
        </w:rPr>
        <w:t xml:space="preserve"> </w:t>
      </w:r>
      <w:r w:rsidRPr="005539C9">
        <w:t>(</w:t>
      </w:r>
      <w:r w:rsidRPr="00AF3A0D">
        <w:rPr>
          <w:i/>
          <w:iCs/>
          <w:lang w:val="en-US"/>
        </w:rPr>
        <w:t>n</w:t>
      </w:r>
      <w:r w:rsidRPr="005539C9">
        <w:t xml:space="preserve"> </w:t>
      </w:r>
      <w:r>
        <w:t xml:space="preserve">= </w:t>
      </w:r>
      <w:r w:rsidRPr="005539C9">
        <w:t>35)</w:t>
      </w:r>
      <w:r w:rsidR="006C6ED9">
        <w:t>.</w:t>
      </w:r>
    </w:p>
    <w:p w14:paraId="53165585" w14:textId="77777777" w:rsidR="00F73BF7" w:rsidRPr="00F73BF7" w:rsidRDefault="00F73BF7" w:rsidP="00F73BF7">
      <w:pPr>
        <w:rPr>
          <w:lang w:eastAsia="en-US"/>
        </w:rPr>
      </w:pPr>
      <w:r>
        <w:rPr>
          <w:noProof/>
        </w:rPr>
        <w:drawing>
          <wp:inline distT="0" distB="0" distL="0" distR="0" wp14:anchorId="0E061884" wp14:editId="1AE737ED">
            <wp:extent cx="5940425" cy="5768340"/>
            <wp:effectExtent l="19050" t="0" r="3175" b="0"/>
            <wp:docPr id="4" name="Рисунок 3" descr="Рис.7_цвет_Ряза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7_цвет_Рязанце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9E85" w14:textId="3F88023E" w:rsidR="00F73BF7" w:rsidRPr="006C6ED9" w:rsidRDefault="00F73BF7" w:rsidP="00F73BF7">
      <w:pPr>
        <w:spacing w:line="360" w:lineRule="auto"/>
        <w:contextualSpacing/>
        <w:rPr>
          <w:sz w:val="32"/>
          <w:szCs w:val="28"/>
          <w:lang w:val="en-US"/>
        </w:rPr>
      </w:pPr>
      <w:r w:rsidRPr="00EC0646">
        <w:rPr>
          <w:b/>
          <w:sz w:val="28"/>
          <w:szCs w:val="28"/>
          <w:lang w:val="en-US"/>
        </w:rPr>
        <w:t>Fig. S</w:t>
      </w:r>
      <w:r w:rsidR="009D3BB0">
        <w:rPr>
          <w:b/>
          <w:sz w:val="28"/>
          <w:szCs w:val="28"/>
          <w:lang w:val="en-US"/>
        </w:rPr>
        <w:t>3</w:t>
      </w:r>
      <w:r w:rsidRPr="00EC0646">
        <w:rPr>
          <w:b/>
          <w:sz w:val="28"/>
          <w:szCs w:val="28"/>
          <w:lang w:val="en-US"/>
        </w:rPr>
        <w:t>.</w:t>
      </w:r>
      <w:r w:rsidRPr="000E45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F73BF7">
        <w:rPr>
          <w:sz w:val="28"/>
          <w:szCs w:val="28"/>
          <w:lang w:val="en-US"/>
        </w:rPr>
        <w:t>distribution diagram</w:t>
      </w:r>
      <w:r>
        <w:rPr>
          <w:sz w:val="28"/>
          <w:szCs w:val="28"/>
          <w:lang w:val="en-US"/>
        </w:rPr>
        <w:t xml:space="preserve"> of </w:t>
      </w:r>
      <w:r w:rsidRPr="00F73BF7">
        <w:rPr>
          <w:i/>
          <w:sz w:val="28"/>
        </w:rPr>
        <w:t>ρ</w:t>
      </w:r>
      <w:r w:rsidRPr="00F73BF7">
        <w:rPr>
          <w:i/>
          <w:sz w:val="28"/>
          <w:vertAlign w:val="subscript"/>
          <w:lang w:val="en-US"/>
        </w:rPr>
        <w:t xml:space="preserve">k </w:t>
      </w:r>
      <w:r>
        <w:rPr>
          <w:sz w:val="28"/>
          <w:lang w:val="en-US"/>
        </w:rPr>
        <w:t xml:space="preserve"> and </w:t>
      </w:r>
      <w:r w:rsidRPr="00F73BF7">
        <w:rPr>
          <w:i/>
          <w:sz w:val="28"/>
        </w:rPr>
        <w:t>η</w:t>
      </w:r>
      <w:r w:rsidRPr="00F73BF7">
        <w:rPr>
          <w:i/>
          <w:sz w:val="28"/>
          <w:vertAlign w:val="subscript"/>
          <w:lang w:val="en-US"/>
        </w:rPr>
        <w:t>k</w:t>
      </w:r>
      <w:r w:rsidRPr="00F73BF7">
        <w:rPr>
          <w:sz w:val="28"/>
          <w:lang w:val="en-US"/>
        </w:rPr>
        <w:t xml:space="preserve"> </w:t>
      </w:r>
      <w:r>
        <w:rPr>
          <w:sz w:val="28"/>
          <w:lang w:val="en-US"/>
        </w:rPr>
        <w:t>values</w:t>
      </w:r>
      <w:r w:rsidR="006C6ED9" w:rsidRPr="006C6ED9">
        <w:rPr>
          <w:sz w:val="28"/>
          <w:lang w:val="en-US"/>
        </w:rPr>
        <w:t>.</w:t>
      </w:r>
    </w:p>
    <w:p w14:paraId="765D0790" w14:textId="5FCAD166" w:rsidR="00F73BF7" w:rsidRPr="006C6ED9" w:rsidRDefault="00F73BF7" w:rsidP="00F73BF7">
      <w:pPr>
        <w:pStyle w:val="BodyL"/>
        <w:ind w:firstLine="0"/>
      </w:pPr>
      <w:r>
        <w:rPr>
          <w:b/>
          <w:szCs w:val="28"/>
        </w:rPr>
        <w:t>Рис</w:t>
      </w:r>
      <w:r w:rsidRPr="009D3BB0">
        <w:rPr>
          <w:b/>
          <w:szCs w:val="28"/>
        </w:rPr>
        <w:t xml:space="preserve">. </w:t>
      </w:r>
      <w:r w:rsidRPr="00EC0646">
        <w:rPr>
          <w:b/>
          <w:szCs w:val="28"/>
          <w:lang w:val="en-US"/>
        </w:rPr>
        <w:t>S</w:t>
      </w:r>
      <w:r w:rsidR="009D3BB0" w:rsidRPr="006C6ED9">
        <w:rPr>
          <w:b/>
          <w:szCs w:val="28"/>
        </w:rPr>
        <w:t>3</w:t>
      </w:r>
      <w:r w:rsidRPr="009D3BB0">
        <w:rPr>
          <w:b/>
          <w:szCs w:val="28"/>
        </w:rPr>
        <w:t>.</w:t>
      </w:r>
      <w:r w:rsidRPr="009D3BB0">
        <w:rPr>
          <w:szCs w:val="28"/>
        </w:rPr>
        <w:t xml:space="preserve"> </w:t>
      </w:r>
      <w:r w:rsidRPr="005539C9">
        <w:t xml:space="preserve">Диаграмма плотности распределения значений </w:t>
      </w:r>
      <w:r w:rsidRPr="005539C9">
        <w:rPr>
          <w:i/>
        </w:rPr>
        <w:t>ρ</w:t>
      </w:r>
      <w:r w:rsidRPr="005539C9">
        <w:rPr>
          <w:i/>
          <w:vertAlign w:val="subscript"/>
          <w:lang w:val="en-US"/>
        </w:rPr>
        <w:t>k</w:t>
      </w:r>
      <w:r w:rsidRPr="005539C9">
        <w:rPr>
          <w:i/>
          <w:vertAlign w:val="subscript"/>
        </w:rPr>
        <w:t xml:space="preserve"> </w:t>
      </w:r>
      <w:r w:rsidRPr="005539C9">
        <w:t xml:space="preserve">и </w:t>
      </w:r>
      <w:r w:rsidRPr="005539C9">
        <w:rPr>
          <w:i/>
        </w:rPr>
        <w:t>η</w:t>
      </w:r>
      <w:r w:rsidRPr="005539C9">
        <w:rPr>
          <w:i/>
          <w:vertAlign w:val="subscript"/>
          <w:lang w:val="en-US"/>
        </w:rPr>
        <w:t>k</w:t>
      </w:r>
      <w:r w:rsidR="006C6ED9">
        <w:rPr>
          <w:i/>
          <w:vertAlign w:val="subscript"/>
        </w:rPr>
        <w:t>.</w:t>
      </w:r>
    </w:p>
    <w:p w14:paraId="69F828CE" w14:textId="77777777" w:rsidR="00A00371" w:rsidRPr="003C31DF" w:rsidRDefault="00F73BF7" w:rsidP="00A00371">
      <w:pPr>
        <w:spacing w:line="360" w:lineRule="auto"/>
        <w:contextualSpacing/>
        <w:rPr>
          <w:sz w:val="28"/>
          <w:szCs w:val="28"/>
        </w:rPr>
      </w:pPr>
      <w:r w:rsidRPr="00F73BF7">
        <w:rPr>
          <w:noProof/>
          <w:sz w:val="28"/>
          <w:szCs w:val="28"/>
        </w:rPr>
        <w:lastRenderedPageBreak/>
        <w:drawing>
          <wp:inline distT="0" distB="0" distL="0" distR="0" wp14:anchorId="33594CE0" wp14:editId="03E6F5AF">
            <wp:extent cx="5940425" cy="2844966"/>
            <wp:effectExtent l="19050" t="0" r="3175" b="0"/>
            <wp:docPr id="3" name="Рисунок 0" descr="Рис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8.jpg"/>
                    <pic:cNvPicPr/>
                  </pic:nvPicPr>
                  <pic:blipFill>
                    <a:blip r:embed="rId9" cstate="print"/>
                    <a:srcRect r="378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24CA9" w14:textId="2BD9CFC8" w:rsidR="00F73BF7" w:rsidRPr="006C6ED9" w:rsidRDefault="00F73BF7" w:rsidP="00F73BF7">
      <w:pPr>
        <w:spacing w:line="360" w:lineRule="auto"/>
        <w:contextualSpacing/>
        <w:rPr>
          <w:sz w:val="28"/>
          <w:szCs w:val="28"/>
          <w:lang w:val="en-US"/>
        </w:rPr>
      </w:pPr>
      <w:r w:rsidRPr="00EC0646">
        <w:rPr>
          <w:b/>
          <w:sz w:val="28"/>
          <w:szCs w:val="28"/>
          <w:lang w:val="en-US"/>
        </w:rPr>
        <w:t>Fig. S</w:t>
      </w:r>
      <w:r w:rsidR="009D3BB0">
        <w:rPr>
          <w:b/>
          <w:sz w:val="28"/>
          <w:szCs w:val="28"/>
          <w:lang w:val="en-US"/>
        </w:rPr>
        <w:t>4</w:t>
      </w:r>
      <w:r w:rsidRPr="00EC0646">
        <w:rPr>
          <w:b/>
          <w:sz w:val="28"/>
          <w:szCs w:val="28"/>
          <w:lang w:val="en-US"/>
        </w:rPr>
        <w:t>.</w:t>
      </w:r>
      <w:r w:rsidRPr="000E45C4">
        <w:rPr>
          <w:sz w:val="28"/>
          <w:szCs w:val="28"/>
          <w:lang w:val="en-US"/>
        </w:rPr>
        <w:t xml:space="preserve"> </w:t>
      </w:r>
      <w:r w:rsidRPr="00F73BF7">
        <w:rPr>
          <w:sz w:val="28"/>
          <w:szCs w:val="28"/>
          <w:lang w:val="en-US"/>
        </w:rPr>
        <w:t xml:space="preserve">Graphs of the </w:t>
      </w:r>
      <w:r>
        <w:rPr>
          <w:sz w:val="28"/>
          <w:szCs w:val="28"/>
          <w:lang w:val="en-US"/>
        </w:rPr>
        <w:t>grain</w:t>
      </w:r>
      <w:r w:rsidRPr="00F73BF7">
        <w:rPr>
          <w:sz w:val="28"/>
          <w:szCs w:val="28"/>
          <w:lang w:val="en-US"/>
        </w:rPr>
        <w:t xml:space="preserve"> size distribution in samples</w:t>
      </w:r>
      <w:r w:rsidR="006C6ED9" w:rsidRPr="006C6ED9">
        <w:rPr>
          <w:sz w:val="28"/>
          <w:szCs w:val="28"/>
          <w:lang w:val="en-US"/>
        </w:rPr>
        <w:t>.</w:t>
      </w:r>
    </w:p>
    <w:p w14:paraId="3A83E9D4" w14:textId="5E05029C" w:rsidR="00F73BF7" w:rsidRPr="00D23588" w:rsidRDefault="00F73BF7" w:rsidP="00F73BF7">
      <w:pPr>
        <w:spacing w:line="360" w:lineRule="auto"/>
        <w:contextualSpacing/>
      </w:pPr>
      <w:r>
        <w:rPr>
          <w:b/>
          <w:sz w:val="28"/>
          <w:szCs w:val="28"/>
        </w:rPr>
        <w:t>Рис</w:t>
      </w:r>
      <w:r w:rsidRPr="009D3BB0">
        <w:rPr>
          <w:b/>
          <w:sz w:val="28"/>
          <w:szCs w:val="28"/>
        </w:rPr>
        <w:t xml:space="preserve">. </w:t>
      </w:r>
      <w:r w:rsidRPr="00EC0646">
        <w:rPr>
          <w:b/>
          <w:sz w:val="28"/>
          <w:szCs w:val="28"/>
          <w:lang w:val="en-US"/>
        </w:rPr>
        <w:t>S</w:t>
      </w:r>
      <w:r w:rsidR="009D3BB0" w:rsidRPr="006C6ED9">
        <w:rPr>
          <w:b/>
          <w:szCs w:val="28"/>
        </w:rPr>
        <w:t>4</w:t>
      </w:r>
      <w:r w:rsidRPr="00F73BF7">
        <w:rPr>
          <w:b/>
          <w:sz w:val="28"/>
          <w:szCs w:val="28"/>
        </w:rPr>
        <w:t>.</w:t>
      </w:r>
      <w:r w:rsidRPr="00F73BF7">
        <w:rPr>
          <w:sz w:val="28"/>
          <w:szCs w:val="28"/>
        </w:rPr>
        <w:t xml:space="preserve"> </w:t>
      </w:r>
      <w:r w:rsidRPr="00F73BF7">
        <w:rPr>
          <w:sz w:val="28"/>
        </w:rPr>
        <w:t>Графики распределения гранулометрического состава в пробах</w:t>
      </w:r>
      <w:r w:rsidR="006C6ED9">
        <w:rPr>
          <w:sz w:val="28"/>
        </w:rPr>
        <w:t>.</w:t>
      </w:r>
      <w:bookmarkStart w:id="0" w:name="_GoBack"/>
      <w:bookmarkEnd w:id="0"/>
    </w:p>
    <w:p w14:paraId="71AE3C5C" w14:textId="77777777" w:rsidR="00A00371" w:rsidRPr="003C31DF" w:rsidRDefault="00A00371" w:rsidP="00B927A4">
      <w:pPr>
        <w:spacing w:line="360" w:lineRule="auto"/>
        <w:contextualSpacing/>
        <w:rPr>
          <w:sz w:val="28"/>
          <w:szCs w:val="28"/>
        </w:rPr>
      </w:pPr>
    </w:p>
    <w:sectPr w:rsidR="00A00371" w:rsidRPr="003C31DF" w:rsidSect="00B9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C9B"/>
    <w:multiLevelType w:val="hybridMultilevel"/>
    <w:tmpl w:val="759E8E5A"/>
    <w:lvl w:ilvl="0" w:tplc="56648AA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9A38F9"/>
    <w:multiLevelType w:val="hybridMultilevel"/>
    <w:tmpl w:val="EE8AA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312DD"/>
    <w:multiLevelType w:val="hybridMultilevel"/>
    <w:tmpl w:val="093E0ADA"/>
    <w:lvl w:ilvl="0" w:tplc="7F90321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2"/>
    <w:rsid w:val="0003485C"/>
    <w:rsid w:val="000945E4"/>
    <w:rsid w:val="000E45C4"/>
    <w:rsid w:val="003C31DF"/>
    <w:rsid w:val="00690B6D"/>
    <w:rsid w:val="006C0412"/>
    <w:rsid w:val="006C6ED9"/>
    <w:rsid w:val="00731E25"/>
    <w:rsid w:val="00817C30"/>
    <w:rsid w:val="008A7FB9"/>
    <w:rsid w:val="00934B68"/>
    <w:rsid w:val="009D3BB0"/>
    <w:rsid w:val="009F3417"/>
    <w:rsid w:val="00A00371"/>
    <w:rsid w:val="00A37E5C"/>
    <w:rsid w:val="00A929FD"/>
    <w:rsid w:val="00B63B05"/>
    <w:rsid w:val="00B82117"/>
    <w:rsid w:val="00B8759D"/>
    <w:rsid w:val="00B903E3"/>
    <w:rsid w:val="00B927A4"/>
    <w:rsid w:val="00D70C78"/>
    <w:rsid w:val="00EC0646"/>
    <w:rsid w:val="00EF6565"/>
    <w:rsid w:val="00F36C24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907A5"/>
  <w15:docId w15:val="{32BAC10D-2C9C-43AA-B33A-DAF4213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F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NoTab">
    <w:name w:val="BodyL.NoTab"/>
    <w:basedOn w:val="a"/>
    <w:next w:val="a"/>
    <w:qFormat/>
    <w:rsid w:val="003C31DF"/>
    <w:pPr>
      <w:spacing w:line="360" w:lineRule="auto"/>
      <w:jc w:val="both"/>
    </w:pPr>
    <w:rPr>
      <w:sz w:val="28"/>
      <w:szCs w:val="20"/>
      <w:lang w:eastAsia="en-US"/>
    </w:rPr>
  </w:style>
  <w:style w:type="paragraph" w:customStyle="1" w:styleId="BodyL">
    <w:name w:val="BodyL."/>
    <w:basedOn w:val="a"/>
    <w:link w:val="BodyL0"/>
    <w:qFormat/>
    <w:rsid w:val="00F73BF7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character" w:customStyle="1" w:styleId="BodyL0">
    <w:name w:val="BodyL. Знак"/>
    <w:link w:val="BodyL"/>
    <w:rsid w:val="00F73B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A106-0310-4259-8477-A8C35CA5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Манахова</cp:lastModifiedBy>
  <cp:revision>3</cp:revision>
  <cp:lastPrinted>2019-03-14T08:32:00Z</cp:lastPrinted>
  <dcterms:created xsi:type="dcterms:W3CDTF">2019-09-20T16:35:00Z</dcterms:created>
  <dcterms:modified xsi:type="dcterms:W3CDTF">2019-09-30T08:18:00Z</dcterms:modified>
</cp:coreProperties>
</file>